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16" w:rsidRDefault="000D138D" w:rsidP="005417CA">
      <w:pPr>
        <w:pStyle w:val="MoENumberedList"/>
        <w:spacing w:after="0"/>
        <w:ind w:left="0" w:firstLine="0"/>
        <w:jc w:val="both"/>
        <w:rPr>
          <w:rFonts w:cs="Arial"/>
          <w:b/>
          <w:color w:val="0070C0"/>
          <w:sz w:val="40"/>
          <w:szCs w:val="40"/>
        </w:rPr>
      </w:pPr>
      <w:r>
        <w:rPr>
          <w:rFonts w:cs="Arial"/>
          <w:b/>
          <w:noProof/>
          <w:color w:val="0070C0"/>
          <w:sz w:val="40"/>
          <w:szCs w:val="40"/>
          <w:lang w:val="en-NZ" w:eastAsia="en-NZ"/>
        </w:rPr>
        <w:pict>
          <v:shapetype id="_x0000_t202" coordsize="21600,21600" o:spt="202" path="m,l,21600r21600,l21600,xe">
            <v:stroke joinstyle="miter"/>
            <v:path gradientshapeok="t" o:connecttype="rect"/>
          </v:shapetype>
          <v:shape id="_x0000_s1026" type="#_x0000_t202" style="position:absolute;left:0;text-align:left;margin-left:-69.4pt;margin-top:-66.05pt;width:221.2pt;height:34.55pt;z-index:251662336;mso-width-relative:margin;mso-height-relative:margin" strokecolor="white [3212]">
            <v:textbox>
              <w:txbxContent>
                <w:p w:rsidR="000D138D" w:rsidRPr="00692FF6" w:rsidRDefault="000D138D" w:rsidP="000D138D">
                  <w:pPr>
                    <w:rPr>
                      <w:lang w:val="en-NZ"/>
                    </w:rPr>
                  </w:pPr>
                  <w:r w:rsidRPr="00692FF6">
                    <w:rPr>
                      <w:b/>
                    </w:rPr>
                    <w:t xml:space="preserve">                                                           FOR ADVISORY GROUP USE ONLY                                                                              </w:t>
                  </w:r>
                </w:p>
                <w:p w:rsidR="000D138D" w:rsidRDefault="000D138D" w:rsidP="000D138D"/>
              </w:txbxContent>
            </v:textbox>
          </v:shape>
        </w:pict>
      </w:r>
      <w:r w:rsidR="00482016" w:rsidRPr="00482016">
        <w:rPr>
          <w:rFonts w:cs="Arial"/>
          <w:b/>
          <w:noProof/>
          <w:color w:val="0070C0"/>
          <w:sz w:val="40"/>
          <w:szCs w:val="40"/>
          <w:lang w:val="en-NZ" w:eastAsia="en-NZ"/>
        </w:rPr>
        <w:drawing>
          <wp:anchor distT="0" distB="0" distL="114300" distR="114300" simplePos="0" relativeHeight="251661312" behindDoc="0" locked="0" layoutInCell="1" allowOverlap="1">
            <wp:simplePos x="0" y="0"/>
            <wp:positionH relativeFrom="column">
              <wp:posOffset>-266700</wp:posOffset>
            </wp:positionH>
            <wp:positionV relativeFrom="paragraph">
              <wp:posOffset>-561975</wp:posOffset>
            </wp:positionV>
            <wp:extent cx="2657475" cy="676275"/>
            <wp:effectExtent l="19050" t="0" r="9525" b="0"/>
            <wp:wrapSquare wrapText="bothSides"/>
            <wp:docPr id="10"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8" cstate="print"/>
                    <a:srcRect/>
                    <a:stretch>
                      <a:fillRect/>
                    </a:stretch>
                  </pic:blipFill>
                  <pic:spPr bwMode="auto">
                    <a:xfrm>
                      <a:off x="0" y="0"/>
                      <a:ext cx="2657475" cy="676275"/>
                    </a:xfrm>
                    <a:prstGeom prst="rect">
                      <a:avLst/>
                    </a:prstGeom>
                    <a:noFill/>
                    <a:ln w="9525">
                      <a:noFill/>
                      <a:miter lim="800000"/>
                      <a:headEnd/>
                      <a:tailEnd/>
                    </a:ln>
                  </pic:spPr>
                </pic:pic>
              </a:graphicData>
            </a:graphic>
          </wp:anchor>
        </w:drawing>
      </w: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r w:rsidRPr="00482016">
        <w:rPr>
          <w:rFonts w:cs="Arial"/>
          <w:b/>
          <w:noProof/>
          <w:color w:val="0070C0"/>
          <w:sz w:val="40"/>
          <w:szCs w:val="40"/>
          <w:lang w:val="en-NZ" w:eastAsia="en-NZ"/>
        </w:rPr>
        <w:drawing>
          <wp:anchor distT="0" distB="0" distL="114300" distR="114300" simplePos="0" relativeHeight="251659264" behindDoc="1" locked="0" layoutInCell="1" allowOverlap="1">
            <wp:simplePos x="0" y="0"/>
            <wp:positionH relativeFrom="page">
              <wp:posOffset>5476875</wp:posOffset>
            </wp:positionH>
            <wp:positionV relativeFrom="page">
              <wp:posOffset>-114300</wp:posOffset>
            </wp:positionV>
            <wp:extent cx="2188210" cy="1647825"/>
            <wp:effectExtent l="0" t="0" r="254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288" b="82629"/>
                    <a:stretch>
                      <a:fillRect/>
                    </a:stretch>
                  </pic:blipFill>
                  <pic:spPr bwMode="auto">
                    <a:xfrm>
                      <a:off x="0" y="0"/>
                      <a:ext cx="2188210" cy="1643380"/>
                    </a:xfrm>
                    <a:prstGeom prst="rect">
                      <a:avLst/>
                    </a:prstGeom>
                    <a:noFill/>
                  </pic:spPr>
                </pic:pic>
              </a:graphicData>
            </a:graphic>
          </wp:anchor>
        </w:drawing>
      </w:r>
    </w:p>
    <w:p w:rsidR="00482016" w:rsidRDefault="00482016" w:rsidP="005417CA">
      <w:pPr>
        <w:pStyle w:val="MoENumberedList"/>
        <w:spacing w:after="0"/>
        <w:ind w:left="0" w:firstLine="0"/>
        <w:jc w:val="both"/>
        <w:rPr>
          <w:rFonts w:cs="Arial"/>
          <w:b/>
          <w:color w:val="0070C0"/>
          <w:sz w:val="40"/>
          <w:szCs w:val="40"/>
        </w:rPr>
      </w:pPr>
    </w:p>
    <w:p w:rsidR="00482016" w:rsidRDefault="000D138D" w:rsidP="005417CA">
      <w:pPr>
        <w:pStyle w:val="MoENumberedList"/>
        <w:spacing w:after="0"/>
        <w:ind w:left="0" w:firstLine="0"/>
        <w:jc w:val="both"/>
        <w:rPr>
          <w:rFonts w:cs="Arial"/>
          <w:b/>
          <w:color w:val="0070C0"/>
          <w:sz w:val="40"/>
          <w:szCs w:val="40"/>
        </w:rPr>
      </w:pPr>
      <w:r>
        <w:rPr>
          <w:rFonts w:cs="Arial"/>
          <w:b/>
          <w:noProof/>
          <w:color w:val="0070C0"/>
          <w:sz w:val="40"/>
          <w:szCs w:val="40"/>
          <w:lang w:val="en-NZ" w:eastAsia="en-NZ"/>
        </w:rPr>
        <w:pict>
          <v:shape id="_x0000_s1027" type="#_x0000_t202" style="position:absolute;left:0;text-align:left;margin-left:-7.5pt;margin-top:49.7pt;width:265.5pt;height:22.55pt;z-index:251663360;mso-width-relative:margin;mso-height-relative:margin" strokecolor="white [3212]">
            <v:textbox>
              <w:txbxContent>
                <w:p w:rsidR="000D138D" w:rsidRPr="00692FF6" w:rsidRDefault="000D138D" w:rsidP="000D138D">
                  <w:pPr>
                    <w:rPr>
                      <w:lang w:val="en-NZ"/>
                    </w:rPr>
                  </w:pPr>
                  <w:r>
                    <w:rPr>
                      <w:b/>
                    </w:rPr>
                    <w:t xml:space="preserve">  DRAFT – NOT GOVERNMENT POLICY</w:t>
                  </w:r>
                </w:p>
                <w:p w:rsidR="000D138D" w:rsidRDefault="000D138D" w:rsidP="000D138D"/>
              </w:txbxContent>
            </v:textbox>
          </v:shape>
        </w:pict>
      </w: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0D138D" w:rsidRDefault="000D138D" w:rsidP="00482016">
      <w:pPr>
        <w:keepNext/>
        <w:keepLines/>
        <w:spacing w:before="240"/>
        <w:jc w:val="right"/>
        <w:outlineLvl w:val="0"/>
        <w:rPr>
          <w:rFonts w:ascii="Arial" w:eastAsia="Times New Roman" w:hAnsi="Arial" w:cs="Arial"/>
          <w:b/>
          <w:bCs/>
          <w:color w:val="000000"/>
          <w:sz w:val="28"/>
          <w:szCs w:val="28"/>
        </w:rPr>
      </w:pPr>
    </w:p>
    <w:p w:rsidR="00482016" w:rsidRPr="00482016" w:rsidRDefault="00482016" w:rsidP="00482016">
      <w:pPr>
        <w:keepNext/>
        <w:keepLines/>
        <w:spacing w:before="240"/>
        <w:jc w:val="right"/>
        <w:outlineLvl w:val="0"/>
        <w:rPr>
          <w:rFonts w:ascii="Arial" w:eastAsia="Times New Roman" w:hAnsi="Arial" w:cs="Arial"/>
          <w:b/>
          <w:bCs/>
          <w:color w:val="000000"/>
          <w:sz w:val="28"/>
          <w:szCs w:val="28"/>
        </w:rPr>
      </w:pPr>
      <w:r w:rsidRPr="00482016">
        <w:rPr>
          <w:rFonts w:ascii="Arial" w:eastAsia="Times New Roman" w:hAnsi="Arial" w:cs="Arial"/>
          <w:b/>
          <w:bCs/>
          <w:color w:val="000000"/>
          <w:sz w:val="28"/>
          <w:szCs w:val="28"/>
        </w:rPr>
        <w:t xml:space="preserve">Review of Funding Systems </w:t>
      </w:r>
    </w:p>
    <w:p w:rsidR="00482016" w:rsidRPr="00482016" w:rsidRDefault="00482016" w:rsidP="00482016">
      <w:pPr>
        <w:keepNext/>
        <w:keepLines/>
        <w:spacing w:before="240"/>
        <w:jc w:val="right"/>
        <w:outlineLvl w:val="0"/>
        <w:rPr>
          <w:rFonts w:ascii="Arial" w:eastAsia="Times New Roman" w:hAnsi="Arial" w:cs="Arial"/>
          <w:b/>
          <w:bCs/>
          <w:color w:val="000000"/>
          <w:sz w:val="28"/>
          <w:szCs w:val="28"/>
        </w:rPr>
      </w:pPr>
      <w:r w:rsidRPr="00482016">
        <w:rPr>
          <w:rFonts w:ascii="Arial" w:eastAsia="Times New Roman" w:hAnsi="Arial" w:cs="Arial"/>
          <w:b/>
          <w:bCs/>
          <w:color w:val="000000"/>
          <w:sz w:val="28"/>
          <w:szCs w:val="28"/>
        </w:rPr>
        <w:t>Background paper for Advisory Group</w:t>
      </w:r>
    </w:p>
    <w:p w:rsidR="00482016" w:rsidRPr="00482016" w:rsidRDefault="00482016" w:rsidP="00482016">
      <w:pPr>
        <w:rPr>
          <w:rFonts w:ascii="Arial" w:eastAsia="Times New Roman" w:hAnsi="Arial" w:cs="Arial"/>
          <w:color w:val="000000"/>
        </w:rPr>
      </w:pPr>
    </w:p>
    <w:p w:rsidR="00482016" w:rsidRPr="00482016" w:rsidRDefault="00482016" w:rsidP="00482016">
      <w:pPr>
        <w:rPr>
          <w:rFonts w:ascii="Arial" w:eastAsia="Times New Roman" w:hAnsi="Arial" w:cs="Arial"/>
          <w:color w:val="000000"/>
        </w:rPr>
      </w:pPr>
    </w:p>
    <w:p w:rsidR="00482016" w:rsidRPr="00482016" w:rsidRDefault="00482016" w:rsidP="00482016">
      <w:pPr>
        <w:spacing w:before="60" w:after="220" w:line="280" w:lineRule="exact"/>
        <w:jc w:val="right"/>
        <w:rPr>
          <w:rFonts w:ascii="Arial" w:eastAsia="Times New Roman" w:hAnsi="Arial" w:cs="Arial"/>
          <w:b/>
          <w:color w:val="000000"/>
          <w:sz w:val="40"/>
          <w:szCs w:val="40"/>
          <w:lang w:val="en-NZ"/>
        </w:rPr>
      </w:pPr>
      <w:r>
        <w:rPr>
          <w:rFonts w:ascii="Arial" w:eastAsia="Times New Roman" w:hAnsi="Arial" w:cs="Arial"/>
          <w:b/>
          <w:color w:val="000000"/>
          <w:sz w:val="40"/>
          <w:szCs w:val="40"/>
          <w:lang w:val="en-NZ"/>
        </w:rPr>
        <w:t xml:space="preserve">Private school funding </w:t>
      </w:r>
    </w:p>
    <w:p w:rsidR="00482016" w:rsidRPr="00482016" w:rsidRDefault="00482016" w:rsidP="00482016">
      <w:pPr>
        <w:spacing w:before="60" w:after="220" w:line="280" w:lineRule="exact"/>
        <w:jc w:val="right"/>
        <w:rPr>
          <w:rFonts w:ascii="Arial" w:eastAsia="Times New Roman" w:hAnsi="Arial" w:cs="Arial"/>
          <w:b/>
          <w:color w:val="0070C0"/>
          <w:sz w:val="40"/>
          <w:szCs w:val="40"/>
          <w:lang w:val="en-NZ"/>
        </w:rPr>
      </w:pPr>
    </w:p>
    <w:p w:rsidR="00482016" w:rsidRPr="00482016" w:rsidRDefault="00482016" w:rsidP="00482016">
      <w:pPr>
        <w:spacing w:before="60" w:after="220" w:line="280" w:lineRule="exact"/>
        <w:jc w:val="right"/>
        <w:rPr>
          <w:rFonts w:ascii="Arial" w:eastAsia="Times New Roman" w:hAnsi="Arial" w:cs="Arial"/>
          <w:b/>
          <w:color w:val="0070C0"/>
          <w:sz w:val="40"/>
          <w:szCs w:val="40"/>
          <w:lang w:val="en-NZ"/>
        </w:rPr>
      </w:pPr>
    </w:p>
    <w:p w:rsidR="00482016" w:rsidRPr="00482016" w:rsidRDefault="00482016" w:rsidP="00482016">
      <w:pPr>
        <w:spacing w:before="60" w:after="220" w:line="280" w:lineRule="exact"/>
        <w:jc w:val="right"/>
        <w:rPr>
          <w:rFonts w:ascii="Arial" w:eastAsia="Times New Roman" w:hAnsi="Arial" w:cs="Arial"/>
          <w:b/>
          <w:color w:val="0070C0"/>
          <w:sz w:val="40"/>
          <w:szCs w:val="40"/>
          <w:lang w:val="en-NZ"/>
        </w:rPr>
      </w:pPr>
    </w:p>
    <w:p w:rsidR="00482016" w:rsidRPr="00482016" w:rsidRDefault="00482016" w:rsidP="00482016">
      <w:pPr>
        <w:spacing w:before="60" w:after="220" w:line="280" w:lineRule="exact"/>
        <w:jc w:val="right"/>
        <w:rPr>
          <w:rFonts w:ascii="Arial" w:eastAsia="Times New Roman" w:hAnsi="Arial" w:cs="Arial"/>
          <w:b/>
          <w:color w:val="0070C0"/>
          <w:sz w:val="40"/>
          <w:szCs w:val="40"/>
          <w:lang w:val="en-NZ"/>
        </w:rPr>
      </w:pPr>
    </w:p>
    <w:p w:rsidR="00482016" w:rsidRPr="00482016" w:rsidRDefault="00482016" w:rsidP="00482016">
      <w:pPr>
        <w:spacing w:before="60" w:after="220" w:line="280" w:lineRule="exact"/>
        <w:jc w:val="right"/>
        <w:rPr>
          <w:rFonts w:ascii="Arial" w:eastAsia="Times New Roman" w:hAnsi="Arial" w:cs="Arial"/>
          <w:b/>
          <w:color w:val="0070C0"/>
          <w:sz w:val="40"/>
          <w:szCs w:val="40"/>
          <w:lang w:val="en-NZ"/>
        </w:rPr>
      </w:pPr>
    </w:p>
    <w:p w:rsidR="00482016" w:rsidRPr="00482016" w:rsidRDefault="00482016" w:rsidP="00482016">
      <w:pPr>
        <w:spacing w:before="60" w:after="220" w:line="280" w:lineRule="exact"/>
        <w:jc w:val="right"/>
        <w:rPr>
          <w:rFonts w:ascii="Arial" w:eastAsia="Times New Roman" w:hAnsi="Arial" w:cs="Arial"/>
          <w:b/>
          <w:color w:val="0070C0"/>
          <w:sz w:val="40"/>
          <w:szCs w:val="40"/>
          <w:lang w:val="en-NZ"/>
        </w:rPr>
      </w:pPr>
    </w:p>
    <w:p w:rsidR="00482016" w:rsidRPr="00482016" w:rsidRDefault="00482016" w:rsidP="00482016">
      <w:pPr>
        <w:spacing w:before="60" w:after="220" w:line="280" w:lineRule="exact"/>
        <w:jc w:val="right"/>
        <w:rPr>
          <w:rFonts w:ascii="Arial" w:eastAsia="Times New Roman" w:hAnsi="Arial" w:cs="Arial"/>
          <w:szCs w:val="20"/>
          <w:lang w:val="en-NZ"/>
        </w:rPr>
      </w:pPr>
    </w:p>
    <w:p w:rsidR="00482016" w:rsidRPr="00482016" w:rsidRDefault="000D138D" w:rsidP="00482016">
      <w:pPr>
        <w:spacing w:before="60" w:after="220" w:line="280" w:lineRule="exact"/>
        <w:jc w:val="right"/>
        <w:rPr>
          <w:rFonts w:ascii="Arial" w:eastAsia="Times New Roman" w:hAnsi="Arial" w:cs="Arial"/>
          <w:szCs w:val="20"/>
          <w:lang w:val="en-NZ"/>
        </w:rPr>
      </w:pPr>
      <w:r>
        <w:rPr>
          <w:rFonts w:ascii="Arial" w:eastAsia="Times New Roman" w:hAnsi="Arial" w:cs="Arial"/>
          <w:szCs w:val="20"/>
          <w:lang w:val="en-NZ"/>
        </w:rPr>
        <w:t>24</w:t>
      </w:r>
      <w:r w:rsidR="00482016" w:rsidRPr="00482016">
        <w:rPr>
          <w:rFonts w:ascii="Arial" w:eastAsia="Times New Roman" w:hAnsi="Arial" w:cs="Arial"/>
          <w:szCs w:val="20"/>
          <w:lang w:val="en-NZ"/>
        </w:rPr>
        <w:t xml:space="preserve"> June 2016</w:t>
      </w: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482016" w:rsidRDefault="00482016" w:rsidP="005417CA">
      <w:pPr>
        <w:pStyle w:val="MoENumberedList"/>
        <w:spacing w:after="0"/>
        <w:ind w:left="0" w:firstLine="0"/>
        <w:jc w:val="both"/>
        <w:rPr>
          <w:rFonts w:cs="Arial"/>
          <w:b/>
          <w:color w:val="0070C0"/>
          <w:sz w:val="40"/>
          <w:szCs w:val="40"/>
        </w:rPr>
      </w:pPr>
    </w:p>
    <w:p w:rsidR="008E0B3F" w:rsidRPr="007744D3" w:rsidRDefault="008E0B3F" w:rsidP="005417CA">
      <w:pPr>
        <w:pStyle w:val="MoENumberedList"/>
        <w:spacing w:after="0"/>
        <w:ind w:left="0" w:firstLine="0"/>
        <w:jc w:val="both"/>
        <w:rPr>
          <w:rFonts w:cs="Arial"/>
          <w:b/>
          <w:color w:val="0070C0"/>
          <w:sz w:val="40"/>
          <w:szCs w:val="40"/>
        </w:rPr>
      </w:pPr>
      <w:r w:rsidRPr="007744D3">
        <w:rPr>
          <w:rFonts w:cs="Arial"/>
          <w:b/>
          <w:color w:val="0070C0"/>
          <w:sz w:val="40"/>
          <w:szCs w:val="40"/>
        </w:rPr>
        <w:t xml:space="preserve">Private </w:t>
      </w:r>
      <w:r w:rsidR="006E789B">
        <w:rPr>
          <w:rFonts w:cs="Arial"/>
          <w:b/>
          <w:color w:val="0070C0"/>
          <w:sz w:val="40"/>
          <w:szCs w:val="40"/>
        </w:rPr>
        <w:t>s</w:t>
      </w:r>
      <w:r w:rsidRPr="007744D3">
        <w:rPr>
          <w:rFonts w:cs="Arial"/>
          <w:b/>
          <w:color w:val="0070C0"/>
          <w:sz w:val="40"/>
          <w:szCs w:val="40"/>
        </w:rPr>
        <w:t xml:space="preserve">chool </w:t>
      </w:r>
      <w:r w:rsidR="006E789B">
        <w:rPr>
          <w:rFonts w:cs="Arial"/>
          <w:b/>
          <w:color w:val="0070C0"/>
          <w:sz w:val="40"/>
          <w:szCs w:val="40"/>
        </w:rPr>
        <w:t>f</w:t>
      </w:r>
      <w:r w:rsidRPr="007744D3">
        <w:rPr>
          <w:rFonts w:cs="Arial"/>
          <w:b/>
          <w:color w:val="0070C0"/>
          <w:sz w:val="40"/>
          <w:szCs w:val="40"/>
        </w:rPr>
        <w:t>unding</w:t>
      </w:r>
    </w:p>
    <w:p w:rsidR="005417CA" w:rsidRPr="005417CA" w:rsidRDefault="005417CA" w:rsidP="005417CA">
      <w:pPr>
        <w:pStyle w:val="MoENumberedList"/>
        <w:spacing w:after="0"/>
        <w:ind w:left="0" w:firstLine="0"/>
        <w:jc w:val="both"/>
        <w:rPr>
          <w:rFonts w:cs="Arial"/>
          <w:b/>
          <w:sz w:val="22"/>
          <w:szCs w:val="22"/>
        </w:rPr>
      </w:pPr>
    </w:p>
    <w:p w:rsidR="00163B79" w:rsidRDefault="008E0B3F" w:rsidP="005417CA">
      <w:pPr>
        <w:pStyle w:val="BlueSubheading3"/>
        <w:spacing w:before="0" w:after="0"/>
        <w:jc w:val="both"/>
        <w:rPr>
          <w:rFonts w:cs="Arial"/>
          <w:sz w:val="24"/>
        </w:rPr>
      </w:pPr>
      <w:r w:rsidRPr="00C002BE">
        <w:rPr>
          <w:rFonts w:cs="Arial"/>
          <w:sz w:val="24"/>
        </w:rPr>
        <w:t>Introduction</w:t>
      </w:r>
    </w:p>
    <w:p w:rsidR="005417CA" w:rsidRPr="005417CA" w:rsidRDefault="005417CA" w:rsidP="005417CA">
      <w:pPr>
        <w:pStyle w:val="BlueSubheading3"/>
        <w:spacing w:before="0" w:after="0"/>
        <w:jc w:val="both"/>
        <w:rPr>
          <w:rFonts w:cs="Arial"/>
          <w:sz w:val="22"/>
        </w:rPr>
      </w:pPr>
    </w:p>
    <w:p w:rsidR="004832DD" w:rsidRPr="00C002BE" w:rsidRDefault="00163B79" w:rsidP="005417CA">
      <w:pPr>
        <w:pStyle w:val="MoENumberedList"/>
        <w:spacing w:after="0"/>
        <w:ind w:left="0" w:firstLine="0"/>
        <w:jc w:val="both"/>
        <w:rPr>
          <w:rFonts w:cs="Arial"/>
          <w:sz w:val="22"/>
        </w:rPr>
      </w:pPr>
      <w:r w:rsidRPr="00C002BE">
        <w:rPr>
          <w:rFonts w:cs="Arial"/>
          <w:sz w:val="22"/>
          <w:szCs w:val="22"/>
        </w:rPr>
        <w:t>Th</w:t>
      </w:r>
      <w:r w:rsidR="004F6C24" w:rsidRPr="00C002BE">
        <w:rPr>
          <w:rFonts w:cs="Arial"/>
          <w:sz w:val="22"/>
          <w:szCs w:val="22"/>
        </w:rPr>
        <w:t>is</w:t>
      </w:r>
      <w:r w:rsidRPr="00C002BE">
        <w:rPr>
          <w:rFonts w:cs="Arial"/>
          <w:sz w:val="22"/>
          <w:szCs w:val="22"/>
        </w:rPr>
        <w:t xml:space="preserve"> paper </w:t>
      </w:r>
      <w:r w:rsidR="005D72AD" w:rsidRPr="00C002BE">
        <w:rPr>
          <w:rFonts w:cs="Arial"/>
          <w:sz w:val="22"/>
          <w:szCs w:val="22"/>
        </w:rPr>
        <w:t xml:space="preserve">considers </w:t>
      </w:r>
      <w:r w:rsidR="00EB07AD" w:rsidRPr="00C002BE">
        <w:rPr>
          <w:rFonts w:cs="Arial"/>
          <w:sz w:val="22"/>
          <w:szCs w:val="22"/>
        </w:rPr>
        <w:t xml:space="preserve">future funding arrangements for private schools in the context of a funding model for state and state-integrated schools that is made up of </w:t>
      </w:r>
      <w:r w:rsidR="00E03A74" w:rsidRPr="00C002BE">
        <w:rPr>
          <w:rFonts w:cs="Arial"/>
          <w:sz w:val="22"/>
          <w:szCs w:val="22"/>
        </w:rPr>
        <w:t xml:space="preserve">a per-student funding </w:t>
      </w:r>
      <w:r w:rsidR="00EB07AD" w:rsidRPr="00C002BE">
        <w:rPr>
          <w:rFonts w:cs="Arial"/>
          <w:sz w:val="22"/>
          <w:szCs w:val="22"/>
        </w:rPr>
        <w:t>amount</w:t>
      </w:r>
      <w:r w:rsidR="00E03A74" w:rsidRPr="00C002BE">
        <w:rPr>
          <w:rFonts w:cs="Arial"/>
          <w:sz w:val="22"/>
          <w:szCs w:val="22"/>
        </w:rPr>
        <w:t xml:space="preserve"> and </w:t>
      </w:r>
      <w:r w:rsidR="00177BD4">
        <w:rPr>
          <w:rFonts w:cs="Arial"/>
          <w:sz w:val="22"/>
          <w:szCs w:val="22"/>
        </w:rPr>
        <w:t>additional funding</w:t>
      </w:r>
      <w:r w:rsidR="00E03A74" w:rsidRPr="00C002BE">
        <w:rPr>
          <w:rFonts w:cs="Arial"/>
          <w:sz w:val="22"/>
          <w:szCs w:val="22"/>
        </w:rPr>
        <w:t xml:space="preserve"> </w:t>
      </w:r>
      <w:r w:rsidR="00EB07AD" w:rsidRPr="00C002BE">
        <w:rPr>
          <w:rFonts w:cs="Arial"/>
          <w:sz w:val="22"/>
          <w:szCs w:val="22"/>
        </w:rPr>
        <w:t xml:space="preserve">relating to students who meet criteria for being </w:t>
      </w:r>
      <w:r w:rsidR="00177BD4">
        <w:rPr>
          <w:rFonts w:cs="Arial"/>
          <w:sz w:val="22"/>
          <w:szCs w:val="22"/>
        </w:rPr>
        <w:t xml:space="preserve">most </w:t>
      </w:r>
      <w:r w:rsidR="00EB07AD" w:rsidRPr="00C002BE">
        <w:rPr>
          <w:rFonts w:cs="Arial"/>
          <w:sz w:val="22"/>
          <w:szCs w:val="22"/>
        </w:rPr>
        <w:t xml:space="preserve">at risk of educational under-achievement. </w:t>
      </w:r>
      <w:r w:rsidR="008303E0" w:rsidRPr="00C002BE">
        <w:rPr>
          <w:rFonts w:cs="Arial"/>
          <w:sz w:val="22"/>
          <w:szCs w:val="22"/>
        </w:rPr>
        <w:t>The model also includes s</w:t>
      </w:r>
      <w:r w:rsidR="004832DD" w:rsidRPr="00C002BE">
        <w:rPr>
          <w:rFonts w:cs="Arial"/>
          <w:sz w:val="22"/>
        </w:rPr>
        <w:t>upplementary funding to maintain the educational viability of particular schools, where this is necessary to maintain an appropriate network of provision.</w:t>
      </w:r>
    </w:p>
    <w:p w:rsidR="00E03A74" w:rsidRPr="00C002BE" w:rsidRDefault="00E03A74" w:rsidP="005417CA">
      <w:pPr>
        <w:pStyle w:val="MoENumberedList"/>
        <w:spacing w:after="0"/>
        <w:ind w:left="0" w:firstLine="0"/>
        <w:jc w:val="both"/>
        <w:rPr>
          <w:rFonts w:cs="Arial"/>
          <w:sz w:val="22"/>
          <w:szCs w:val="22"/>
        </w:rPr>
      </w:pPr>
    </w:p>
    <w:p w:rsidR="008303E0" w:rsidRDefault="004832DD" w:rsidP="005417CA">
      <w:pPr>
        <w:pStyle w:val="MoENumberedList"/>
        <w:spacing w:after="0"/>
        <w:ind w:left="0" w:firstLine="0"/>
        <w:jc w:val="both"/>
        <w:rPr>
          <w:rFonts w:cs="Arial"/>
          <w:sz w:val="22"/>
          <w:szCs w:val="22"/>
        </w:rPr>
      </w:pPr>
      <w:r w:rsidRPr="00C002BE">
        <w:rPr>
          <w:rFonts w:cs="Arial"/>
          <w:sz w:val="22"/>
          <w:szCs w:val="22"/>
        </w:rPr>
        <w:t xml:space="preserve">In this paper we outline the legislative framework </w:t>
      </w:r>
      <w:r w:rsidR="000C144E">
        <w:rPr>
          <w:rFonts w:cs="Arial"/>
          <w:sz w:val="22"/>
          <w:szCs w:val="22"/>
        </w:rPr>
        <w:t xml:space="preserve">and current funding arrangements </w:t>
      </w:r>
      <w:r w:rsidRPr="00C002BE">
        <w:rPr>
          <w:rFonts w:cs="Arial"/>
          <w:sz w:val="22"/>
          <w:szCs w:val="22"/>
        </w:rPr>
        <w:t>for private schools, a</w:t>
      </w:r>
      <w:r w:rsidR="008303E0" w:rsidRPr="00C002BE">
        <w:rPr>
          <w:rFonts w:cs="Arial"/>
          <w:sz w:val="22"/>
          <w:szCs w:val="22"/>
        </w:rPr>
        <w:t xml:space="preserve">nd consider insights from funding arrangements in other countries. </w:t>
      </w:r>
      <w:r w:rsidRPr="00C002BE">
        <w:rPr>
          <w:rFonts w:cs="Arial"/>
          <w:sz w:val="22"/>
          <w:szCs w:val="22"/>
        </w:rPr>
        <w:t xml:space="preserve">We also outline issues </w:t>
      </w:r>
      <w:r w:rsidR="008303E0" w:rsidRPr="00C002BE">
        <w:rPr>
          <w:rFonts w:cs="Arial"/>
          <w:sz w:val="22"/>
          <w:szCs w:val="22"/>
        </w:rPr>
        <w:t>that might inform policy on funding for private schools and suggest a possible approach to linking the per-student subsidy for private schools to the proposed funding model for state and state-integrated sc</w:t>
      </w:r>
      <w:r w:rsidR="009445A3" w:rsidRPr="00C002BE">
        <w:rPr>
          <w:rFonts w:cs="Arial"/>
          <w:sz w:val="22"/>
          <w:szCs w:val="22"/>
        </w:rPr>
        <w:t>h</w:t>
      </w:r>
      <w:r w:rsidR="008303E0" w:rsidRPr="00C002BE">
        <w:rPr>
          <w:rFonts w:cs="Arial"/>
          <w:sz w:val="22"/>
          <w:szCs w:val="22"/>
        </w:rPr>
        <w:t>ools.</w:t>
      </w:r>
    </w:p>
    <w:p w:rsidR="005417CA" w:rsidRPr="005417CA" w:rsidRDefault="005417CA" w:rsidP="005417CA">
      <w:pPr>
        <w:pStyle w:val="MoENumberedList"/>
        <w:spacing w:after="0"/>
        <w:ind w:left="0" w:firstLine="0"/>
        <w:jc w:val="both"/>
        <w:rPr>
          <w:rFonts w:cs="Arial"/>
          <w:sz w:val="22"/>
          <w:szCs w:val="22"/>
        </w:rPr>
      </w:pPr>
    </w:p>
    <w:p w:rsidR="004832DD" w:rsidRDefault="004832DD" w:rsidP="005417CA">
      <w:pPr>
        <w:pStyle w:val="BlueSubheading3"/>
        <w:spacing w:before="0" w:after="0"/>
        <w:jc w:val="both"/>
        <w:rPr>
          <w:rFonts w:cs="Arial"/>
          <w:sz w:val="24"/>
        </w:rPr>
      </w:pPr>
      <w:r w:rsidRPr="00C002BE">
        <w:rPr>
          <w:rFonts w:cs="Arial"/>
          <w:sz w:val="24"/>
        </w:rPr>
        <w:t>Current arrangements</w:t>
      </w:r>
    </w:p>
    <w:p w:rsidR="005417CA" w:rsidRPr="005417CA" w:rsidRDefault="005417CA" w:rsidP="005417CA">
      <w:pPr>
        <w:pStyle w:val="BlueSubheading3"/>
        <w:spacing w:before="0" w:after="0"/>
        <w:jc w:val="both"/>
        <w:rPr>
          <w:rFonts w:cs="Arial"/>
          <w:sz w:val="22"/>
        </w:rPr>
      </w:pPr>
    </w:p>
    <w:p w:rsidR="00163B79" w:rsidRDefault="00163B79" w:rsidP="005417CA">
      <w:pPr>
        <w:pStyle w:val="ListParagraph"/>
        <w:ind w:left="0"/>
        <w:jc w:val="both"/>
        <w:rPr>
          <w:rFonts w:ascii="Arial" w:hAnsi="Arial" w:cs="Arial"/>
          <w:sz w:val="22"/>
          <w:szCs w:val="22"/>
        </w:rPr>
      </w:pPr>
      <w:r w:rsidRPr="00C002BE">
        <w:rPr>
          <w:rFonts w:ascii="Arial" w:hAnsi="Arial" w:cs="Arial"/>
          <w:sz w:val="22"/>
          <w:szCs w:val="22"/>
        </w:rPr>
        <w:t>In 2015</w:t>
      </w:r>
      <w:r w:rsidR="006E789B">
        <w:rPr>
          <w:rFonts w:ascii="Arial" w:hAnsi="Arial" w:cs="Arial"/>
          <w:sz w:val="22"/>
          <w:szCs w:val="22"/>
        </w:rPr>
        <w:t>,</w:t>
      </w:r>
      <w:r w:rsidRPr="00C002BE">
        <w:rPr>
          <w:rFonts w:ascii="Arial" w:hAnsi="Arial" w:cs="Arial"/>
          <w:sz w:val="22"/>
          <w:szCs w:val="22"/>
        </w:rPr>
        <w:t xml:space="preserve"> there were 86 fully registered private schools and 2 provisionally registered schools</w:t>
      </w:r>
      <w:r w:rsidR="00266C57">
        <w:rPr>
          <w:rFonts w:ascii="Arial" w:hAnsi="Arial" w:cs="Arial"/>
          <w:sz w:val="22"/>
          <w:szCs w:val="22"/>
        </w:rPr>
        <w:t xml:space="preserve"> across New Zealand</w:t>
      </w:r>
      <w:r w:rsidRPr="00C002BE">
        <w:rPr>
          <w:rFonts w:ascii="Arial" w:hAnsi="Arial" w:cs="Arial"/>
          <w:sz w:val="22"/>
          <w:szCs w:val="22"/>
        </w:rPr>
        <w:t>. The</w:t>
      </w:r>
      <w:r w:rsidR="00E34534" w:rsidRPr="00C002BE">
        <w:rPr>
          <w:rFonts w:ascii="Arial" w:hAnsi="Arial" w:cs="Arial"/>
          <w:sz w:val="22"/>
          <w:szCs w:val="22"/>
        </w:rPr>
        <w:t>s</w:t>
      </w:r>
      <w:r w:rsidRPr="00C002BE">
        <w:rPr>
          <w:rFonts w:ascii="Arial" w:hAnsi="Arial" w:cs="Arial"/>
          <w:sz w:val="22"/>
          <w:szCs w:val="22"/>
        </w:rPr>
        <w:t xml:space="preserve">e </w:t>
      </w:r>
      <w:r w:rsidR="00E34534" w:rsidRPr="00C002BE">
        <w:rPr>
          <w:rFonts w:ascii="Arial" w:hAnsi="Arial" w:cs="Arial"/>
          <w:sz w:val="22"/>
          <w:szCs w:val="22"/>
        </w:rPr>
        <w:t>schools enrolled</w:t>
      </w:r>
      <w:r w:rsidRPr="00C002BE">
        <w:rPr>
          <w:rFonts w:ascii="Arial" w:hAnsi="Arial" w:cs="Arial"/>
          <w:sz w:val="22"/>
          <w:szCs w:val="22"/>
        </w:rPr>
        <w:t xml:space="preserve"> 26,</w:t>
      </w:r>
      <w:r w:rsidR="00B176DA">
        <w:rPr>
          <w:rFonts w:ascii="Arial" w:hAnsi="Arial" w:cs="Arial"/>
          <w:sz w:val="22"/>
          <w:szCs w:val="22"/>
        </w:rPr>
        <w:t>871</w:t>
      </w:r>
      <w:r w:rsidRPr="00C002BE">
        <w:rPr>
          <w:rFonts w:ascii="Arial" w:hAnsi="Arial" w:cs="Arial"/>
          <w:sz w:val="22"/>
          <w:szCs w:val="22"/>
        </w:rPr>
        <w:t xml:space="preserve"> domestic students (3.</w:t>
      </w:r>
      <w:r w:rsidR="00626100">
        <w:rPr>
          <w:rFonts w:ascii="Arial" w:hAnsi="Arial" w:cs="Arial"/>
          <w:sz w:val="22"/>
          <w:szCs w:val="22"/>
        </w:rPr>
        <w:t>5</w:t>
      </w:r>
      <w:r w:rsidRPr="00C002BE">
        <w:rPr>
          <w:rFonts w:ascii="Arial" w:hAnsi="Arial" w:cs="Arial"/>
          <w:sz w:val="22"/>
          <w:szCs w:val="22"/>
        </w:rPr>
        <w:t>% of total enrolments) and 1,558 international students.</w:t>
      </w:r>
      <w:r w:rsidR="006F02DD">
        <w:rPr>
          <w:rFonts w:ascii="Arial" w:hAnsi="Arial" w:cs="Arial"/>
          <w:sz w:val="22"/>
          <w:szCs w:val="22"/>
        </w:rPr>
        <w:t xml:space="preserve"> Further data on the private school </w:t>
      </w:r>
      <w:r w:rsidR="00177BD4">
        <w:rPr>
          <w:rFonts w:ascii="Arial" w:hAnsi="Arial" w:cs="Arial"/>
          <w:sz w:val="22"/>
          <w:szCs w:val="22"/>
        </w:rPr>
        <w:t>sector is provided in the Annex.</w:t>
      </w:r>
    </w:p>
    <w:p w:rsidR="005417CA" w:rsidRPr="00C002BE" w:rsidRDefault="005417CA" w:rsidP="005417CA">
      <w:pPr>
        <w:pStyle w:val="ListParagraph"/>
        <w:ind w:left="0"/>
        <w:jc w:val="both"/>
        <w:rPr>
          <w:rFonts w:ascii="Arial" w:hAnsi="Arial" w:cs="Arial"/>
          <w:sz w:val="22"/>
          <w:szCs w:val="22"/>
        </w:rPr>
      </w:pPr>
    </w:p>
    <w:p w:rsidR="00527EF1" w:rsidRDefault="00527EF1" w:rsidP="005417CA">
      <w:pPr>
        <w:pStyle w:val="BlueSubheading3"/>
        <w:spacing w:before="0" w:after="0"/>
        <w:jc w:val="both"/>
        <w:rPr>
          <w:rFonts w:cs="Arial"/>
          <w:i/>
          <w:sz w:val="22"/>
        </w:rPr>
      </w:pPr>
      <w:r w:rsidRPr="00C002BE">
        <w:rPr>
          <w:rFonts w:cs="Arial"/>
          <w:i/>
          <w:sz w:val="22"/>
        </w:rPr>
        <w:t xml:space="preserve">Legislative framework </w:t>
      </w:r>
    </w:p>
    <w:p w:rsidR="005417CA" w:rsidRPr="00C002BE" w:rsidRDefault="005417CA" w:rsidP="005417CA">
      <w:pPr>
        <w:pStyle w:val="BlueSubheading3"/>
        <w:spacing w:before="0" w:after="0"/>
        <w:jc w:val="both"/>
        <w:rPr>
          <w:rFonts w:cs="Arial"/>
          <w:i/>
          <w:sz w:val="22"/>
        </w:rPr>
      </w:pPr>
    </w:p>
    <w:p w:rsidR="00EE1724" w:rsidRDefault="00BF4CAC" w:rsidP="005417CA">
      <w:pPr>
        <w:pStyle w:val="ListParagraph"/>
        <w:ind w:left="17"/>
        <w:jc w:val="both"/>
        <w:rPr>
          <w:rFonts w:ascii="Arial" w:hAnsi="Arial" w:cs="Arial"/>
          <w:sz w:val="22"/>
          <w:szCs w:val="22"/>
        </w:rPr>
      </w:pPr>
      <w:r w:rsidRPr="00C002BE">
        <w:rPr>
          <w:rFonts w:ascii="Arial" w:hAnsi="Arial" w:cs="Arial"/>
          <w:sz w:val="22"/>
          <w:szCs w:val="22"/>
        </w:rPr>
        <w:t>T</w:t>
      </w:r>
      <w:r w:rsidR="008E0B3F" w:rsidRPr="00C002BE">
        <w:rPr>
          <w:rFonts w:ascii="Arial" w:hAnsi="Arial" w:cs="Arial"/>
          <w:sz w:val="22"/>
          <w:szCs w:val="22"/>
        </w:rPr>
        <w:t xml:space="preserve">he requirements for the establishment of private schools are less than for other schools, and </w:t>
      </w:r>
      <w:r w:rsidR="000C144E">
        <w:rPr>
          <w:rFonts w:ascii="Arial" w:hAnsi="Arial" w:cs="Arial"/>
          <w:sz w:val="22"/>
          <w:szCs w:val="22"/>
        </w:rPr>
        <w:t>private schools</w:t>
      </w:r>
      <w:r w:rsidR="008E0B3F" w:rsidRPr="00C002BE">
        <w:rPr>
          <w:rFonts w:ascii="Arial" w:hAnsi="Arial" w:cs="Arial"/>
          <w:sz w:val="22"/>
          <w:szCs w:val="22"/>
        </w:rPr>
        <w:t xml:space="preserve"> have greater freedom around how they operate. These freedoms include the ability to charge fees, select students and choose the curriculum they teach.</w:t>
      </w:r>
    </w:p>
    <w:p w:rsidR="00EE1724" w:rsidRDefault="00EE1724" w:rsidP="005417CA">
      <w:pPr>
        <w:pStyle w:val="ListParagraph"/>
        <w:ind w:left="17"/>
        <w:jc w:val="both"/>
        <w:rPr>
          <w:rFonts w:ascii="Arial" w:hAnsi="Arial" w:cs="Arial"/>
          <w:sz w:val="22"/>
          <w:szCs w:val="22"/>
        </w:rPr>
      </w:pPr>
    </w:p>
    <w:p w:rsidR="00222E25" w:rsidRDefault="008E0B3F" w:rsidP="005417CA">
      <w:pPr>
        <w:pStyle w:val="ListParagraph"/>
        <w:ind w:left="17"/>
        <w:jc w:val="both"/>
        <w:rPr>
          <w:rFonts w:ascii="Arial" w:hAnsi="Arial" w:cs="Arial"/>
          <w:sz w:val="22"/>
          <w:szCs w:val="22"/>
        </w:rPr>
      </w:pPr>
      <w:r w:rsidRPr="00C002BE">
        <w:rPr>
          <w:rFonts w:ascii="Arial" w:hAnsi="Arial" w:cs="Arial"/>
          <w:sz w:val="22"/>
          <w:szCs w:val="22"/>
        </w:rPr>
        <w:t>In addition, private schools are subject to lower monitoring and accountability requirements than state and state-integrated schools.</w:t>
      </w:r>
      <w:r w:rsidR="00222E25">
        <w:rPr>
          <w:rFonts w:ascii="Arial" w:hAnsi="Arial" w:cs="Arial"/>
          <w:sz w:val="22"/>
          <w:szCs w:val="22"/>
        </w:rPr>
        <w:t xml:space="preserve"> This</w:t>
      </w:r>
      <w:r w:rsidR="00222E25" w:rsidRPr="00222E25">
        <w:rPr>
          <w:rFonts w:ascii="Arial" w:hAnsi="Arial" w:cs="Arial"/>
          <w:sz w:val="22"/>
          <w:szCs w:val="22"/>
        </w:rPr>
        <w:t xml:space="preserve"> reflects a judgement that parents have a reasonably strong incentive to hold </w:t>
      </w:r>
      <w:r w:rsidR="00222E25">
        <w:rPr>
          <w:rFonts w:ascii="Arial" w:hAnsi="Arial" w:cs="Arial"/>
          <w:sz w:val="22"/>
          <w:szCs w:val="22"/>
        </w:rPr>
        <w:t xml:space="preserve">private </w:t>
      </w:r>
      <w:r w:rsidR="00222E25" w:rsidRPr="00222E25">
        <w:rPr>
          <w:rFonts w:ascii="Arial" w:hAnsi="Arial" w:cs="Arial"/>
          <w:sz w:val="22"/>
          <w:szCs w:val="22"/>
        </w:rPr>
        <w:t>schools to account because they make a substantial contribution to the costs of operation of the school</w:t>
      </w:r>
      <w:r w:rsidR="000C144E">
        <w:rPr>
          <w:rFonts w:ascii="Arial" w:hAnsi="Arial" w:cs="Arial"/>
          <w:sz w:val="22"/>
          <w:szCs w:val="22"/>
        </w:rPr>
        <w:t>,</w:t>
      </w:r>
      <w:r w:rsidR="00222E25">
        <w:rPr>
          <w:rStyle w:val="FootnoteReference"/>
          <w:rFonts w:ascii="Arial" w:hAnsi="Arial" w:cs="Arial"/>
          <w:sz w:val="22"/>
          <w:szCs w:val="22"/>
        </w:rPr>
        <w:footnoteReference w:id="1"/>
      </w:r>
      <w:r w:rsidR="00222E25" w:rsidRPr="00222E25">
        <w:rPr>
          <w:rFonts w:ascii="Arial" w:hAnsi="Arial" w:cs="Arial"/>
          <w:sz w:val="22"/>
          <w:szCs w:val="22"/>
        </w:rPr>
        <w:t xml:space="preserve"> and if dissatisfied </w:t>
      </w:r>
      <w:r w:rsidR="000C144E">
        <w:rPr>
          <w:rFonts w:ascii="Arial" w:hAnsi="Arial" w:cs="Arial"/>
          <w:sz w:val="22"/>
          <w:szCs w:val="22"/>
        </w:rPr>
        <w:t xml:space="preserve">they </w:t>
      </w:r>
      <w:r w:rsidR="00222E25" w:rsidRPr="00222E25">
        <w:rPr>
          <w:rFonts w:ascii="Arial" w:hAnsi="Arial" w:cs="Arial"/>
          <w:sz w:val="22"/>
          <w:szCs w:val="22"/>
        </w:rPr>
        <w:t xml:space="preserve">have </w:t>
      </w:r>
      <w:r w:rsidR="00222E25">
        <w:rPr>
          <w:rFonts w:ascii="Arial" w:hAnsi="Arial" w:cs="Arial"/>
          <w:sz w:val="22"/>
          <w:szCs w:val="22"/>
        </w:rPr>
        <w:t xml:space="preserve">the </w:t>
      </w:r>
      <w:r w:rsidR="00222E25" w:rsidRPr="00222E25">
        <w:rPr>
          <w:rFonts w:ascii="Arial" w:hAnsi="Arial" w:cs="Arial"/>
          <w:sz w:val="22"/>
          <w:szCs w:val="22"/>
        </w:rPr>
        <w:t>option of removing their child to a state school.</w:t>
      </w:r>
    </w:p>
    <w:p w:rsidR="005417CA" w:rsidRPr="00222E25" w:rsidRDefault="005417CA" w:rsidP="005417CA">
      <w:pPr>
        <w:pStyle w:val="ListParagraph"/>
        <w:ind w:left="17"/>
        <w:jc w:val="both"/>
        <w:rPr>
          <w:rFonts w:ascii="Arial" w:hAnsi="Arial" w:cs="Arial"/>
          <w:sz w:val="22"/>
          <w:szCs w:val="22"/>
        </w:rPr>
      </w:pPr>
    </w:p>
    <w:p w:rsidR="00527EF1" w:rsidRDefault="00527EF1" w:rsidP="005417CA">
      <w:pPr>
        <w:pStyle w:val="BlueSubheading3"/>
        <w:spacing w:before="0" w:after="0"/>
        <w:jc w:val="both"/>
        <w:rPr>
          <w:rFonts w:cs="Arial"/>
          <w:i/>
          <w:sz w:val="22"/>
        </w:rPr>
      </w:pPr>
      <w:r w:rsidRPr="00C002BE">
        <w:rPr>
          <w:rFonts w:cs="Arial"/>
          <w:i/>
          <w:sz w:val="22"/>
        </w:rPr>
        <w:t xml:space="preserve">Funding arrangements </w:t>
      </w:r>
    </w:p>
    <w:p w:rsidR="005417CA" w:rsidRPr="00C002BE" w:rsidRDefault="005417CA" w:rsidP="005417CA">
      <w:pPr>
        <w:pStyle w:val="BlueSubheading3"/>
        <w:spacing w:before="0" w:after="0"/>
        <w:jc w:val="both"/>
        <w:rPr>
          <w:rFonts w:cs="Arial"/>
          <w:i/>
          <w:sz w:val="22"/>
        </w:rPr>
      </w:pPr>
    </w:p>
    <w:p w:rsidR="00163B79" w:rsidRPr="00C002BE" w:rsidRDefault="00163B79" w:rsidP="005417CA">
      <w:pPr>
        <w:pStyle w:val="ListParagraph"/>
        <w:ind w:left="0"/>
        <w:jc w:val="both"/>
        <w:rPr>
          <w:rFonts w:ascii="Arial" w:hAnsi="Arial" w:cs="Arial"/>
          <w:sz w:val="22"/>
          <w:szCs w:val="22"/>
        </w:rPr>
      </w:pPr>
      <w:r w:rsidRPr="00C002BE">
        <w:rPr>
          <w:rFonts w:ascii="Arial" w:hAnsi="Arial" w:cs="Arial"/>
          <w:sz w:val="22"/>
          <w:szCs w:val="22"/>
        </w:rPr>
        <w:t xml:space="preserve">The majority of government funding for private schools is allocated through a </w:t>
      </w:r>
      <w:r w:rsidR="00527EF1" w:rsidRPr="00C002BE">
        <w:rPr>
          <w:rFonts w:ascii="Arial" w:hAnsi="Arial" w:cs="Arial"/>
          <w:sz w:val="22"/>
          <w:szCs w:val="22"/>
        </w:rPr>
        <w:t>capped funding pool of $45.7 million (GST exclusive) per annum</w:t>
      </w:r>
      <w:r w:rsidR="006E789B">
        <w:rPr>
          <w:rFonts w:ascii="Arial" w:hAnsi="Arial" w:cs="Arial"/>
          <w:sz w:val="22"/>
          <w:szCs w:val="22"/>
        </w:rPr>
        <w:t>,</w:t>
      </w:r>
      <w:r w:rsidR="00527EF1" w:rsidRPr="00C002BE">
        <w:rPr>
          <w:rFonts w:ascii="Arial" w:hAnsi="Arial" w:cs="Arial"/>
          <w:sz w:val="22"/>
          <w:szCs w:val="22"/>
        </w:rPr>
        <w:t xml:space="preserve"> which has not increased since the beginning of the 2010 school year.</w:t>
      </w:r>
      <w:r w:rsidR="00527EF1" w:rsidRPr="00C002BE">
        <w:rPr>
          <w:rStyle w:val="FootnoteReference"/>
          <w:rFonts w:ascii="Arial" w:hAnsi="Arial" w:cs="Arial"/>
          <w:sz w:val="22"/>
          <w:szCs w:val="22"/>
        </w:rPr>
        <w:footnoteReference w:id="2"/>
      </w:r>
      <w:r w:rsidR="00527EF1" w:rsidRPr="00C002BE">
        <w:rPr>
          <w:rFonts w:ascii="Arial" w:hAnsi="Arial" w:cs="Arial"/>
          <w:sz w:val="22"/>
          <w:szCs w:val="22"/>
        </w:rPr>
        <w:t xml:space="preserve"> The pool comprises funding for</w:t>
      </w:r>
      <w:r w:rsidR="00E34534" w:rsidRPr="00C002BE">
        <w:rPr>
          <w:rFonts w:ascii="Arial" w:hAnsi="Arial" w:cs="Arial"/>
          <w:sz w:val="22"/>
          <w:szCs w:val="22"/>
        </w:rPr>
        <w:t>:</w:t>
      </w:r>
    </w:p>
    <w:p w:rsidR="00163B79" w:rsidRPr="00C002BE" w:rsidRDefault="00163B79" w:rsidP="005417CA">
      <w:pPr>
        <w:pStyle w:val="TRNormal"/>
        <w:tabs>
          <w:tab w:val="left" w:pos="1134"/>
        </w:tabs>
        <w:ind w:firstLine="0"/>
        <w:jc w:val="both"/>
        <w:rPr>
          <w:rFonts w:cs="Arial"/>
          <w:szCs w:val="22"/>
        </w:rPr>
      </w:pPr>
    </w:p>
    <w:p w:rsidR="00163B79" w:rsidRPr="00C002BE" w:rsidRDefault="00163B79" w:rsidP="001C4E90">
      <w:pPr>
        <w:pStyle w:val="TRNormal"/>
        <w:numPr>
          <w:ilvl w:val="0"/>
          <w:numId w:val="18"/>
        </w:numPr>
        <w:tabs>
          <w:tab w:val="left" w:pos="1134"/>
        </w:tabs>
        <w:ind w:left="567" w:hanging="283"/>
        <w:jc w:val="both"/>
        <w:rPr>
          <w:rFonts w:cs="Arial"/>
          <w:szCs w:val="22"/>
        </w:rPr>
      </w:pPr>
      <w:proofErr w:type="gramStart"/>
      <w:r w:rsidRPr="00C002BE">
        <w:rPr>
          <w:rFonts w:cs="Arial"/>
          <w:szCs w:val="22"/>
        </w:rPr>
        <w:t>a</w:t>
      </w:r>
      <w:proofErr w:type="gramEnd"/>
      <w:r w:rsidRPr="00C002BE">
        <w:rPr>
          <w:rFonts w:cs="Arial"/>
          <w:szCs w:val="22"/>
        </w:rPr>
        <w:t xml:space="preserve"> per-student subsidy, which is differentiated by year level and applies in a uniform way to students at all private schools </w:t>
      </w:r>
      <w:r w:rsidR="00737D23" w:rsidRPr="00C002BE">
        <w:rPr>
          <w:rFonts w:cs="Arial"/>
          <w:szCs w:val="22"/>
        </w:rPr>
        <w:t>–</w:t>
      </w:r>
      <w:r w:rsidRPr="00C002BE">
        <w:rPr>
          <w:rFonts w:cs="Arial"/>
          <w:szCs w:val="22"/>
        </w:rPr>
        <w:t xml:space="preserve"> $41.575 million per annum</w:t>
      </w:r>
      <w:r w:rsidR="006E789B">
        <w:rPr>
          <w:rFonts w:cs="Arial"/>
          <w:szCs w:val="22"/>
        </w:rPr>
        <w:t>.</w:t>
      </w:r>
    </w:p>
    <w:p w:rsidR="00163B79" w:rsidRPr="00C002BE" w:rsidRDefault="00163B79" w:rsidP="005417CA">
      <w:pPr>
        <w:pStyle w:val="TRNormal"/>
        <w:tabs>
          <w:tab w:val="left" w:pos="1134"/>
        </w:tabs>
        <w:ind w:left="340" w:firstLine="0"/>
        <w:jc w:val="both"/>
        <w:rPr>
          <w:rFonts w:cs="Arial"/>
          <w:szCs w:val="22"/>
        </w:rPr>
      </w:pPr>
    </w:p>
    <w:p w:rsidR="00163B79" w:rsidRPr="00C002BE" w:rsidRDefault="00163B79" w:rsidP="001C4E90">
      <w:pPr>
        <w:pStyle w:val="TRNormal"/>
        <w:numPr>
          <w:ilvl w:val="0"/>
          <w:numId w:val="18"/>
        </w:numPr>
        <w:tabs>
          <w:tab w:val="left" w:pos="1134"/>
        </w:tabs>
        <w:ind w:left="567" w:hanging="283"/>
        <w:jc w:val="both"/>
        <w:rPr>
          <w:rFonts w:cs="Arial"/>
          <w:szCs w:val="22"/>
        </w:rPr>
      </w:pPr>
      <w:r w:rsidRPr="00C002BE">
        <w:rPr>
          <w:rFonts w:cs="Arial"/>
          <w:szCs w:val="22"/>
        </w:rPr>
        <w:t xml:space="preserve">the Aspire Scholarship scheme, </w:t>
      </w:r>
      <w:r w:rsidR="00896D5D" w:rsidRPr="00C002BE">
        <w:rPr>
          <w:rFonts w:cs="Arial"/>
          <w:szCs w:val="22"/>
        </w:rPr>
        <w:t xml:space="preserve">which </w:t>
      </w:r>
      <w:r w:rsidR="00DA1D95" w:rsidRPr="00C002BE">
        <w:rPr>
          <w:rFonts w:cs="Arial"/>
          <w:szCs w:val="22"/>
        </w:rPr>
        <w:t>contributes up to $1</w:t>
      </w:r>
      <w:r w:rsidR="00E34534" w:rsidRPr="00C002BE">
        <w:rPr>
          <w:rFonts w:cs="Arial"/>
          <w:szCs w:val="22"/>
        </w:rPr>
        <w:t>6</w:t>
      </w:r>
      <w:r w:rsidR="00DA1D95" w:rsidRPr="00C002BE">
        <w:rPr>
          <w:rFonts w:cs="Arial"/>
          <w:szCs w:val="22"/>
        </w:rPr>
        <w:t>,</w:t>
      </w:r>
      <w:r w:rsidR="00E34534" w:rsidRPr="00C002BE">
        <w:rPr>
          <w:rFonts w:cs="Arial"/>
          <w:szCs w:val="22"/>
        </w:rPr>
        <w:t>5</w:t>
      </w:r>
      <w:r w:rsidR="00DA1D95" w:rsidRPr="00C002BE">
        <w:rPr>
          <w:rFonts w:cs="Arial"/>
          <w:szCs w:val="22"/>
        </w:rPr>
        <w:t>00 per year towards fees and course related costs</w:t>
      </w:r>
      <w:r w:rsidR="00896D5D" w:rsidRPr="00C002BE">
        <w:rPr>
          <w:rFonts w:cs="Arial"/>
          <w:szCs w:val="22"/>
        </w:rPr>
        <w:t xml:space="preserve"> for up to 250 secondary level</w:t>
      </w:r>
      <w:r w:rsidR="003C4C33" w:rsidRPr="00C002BE">
        <w:rPr>
          <w:rFonts w:cs="Arial"/>
          <w:szCs w:val="22"/>
        </w:rPr>
        <w:t xml:space="preserve"> </w:t>
      </w:r>
      <w:r w:rsidR="00896D5D" w:rsidRPr="00C002BE">
        <w:rPr>
          <w:rFonts w:cs="Arial"/>
          <w:szCs w:val="22"/>
        </w:rPr>
        <w:t xml:space="preserve">students from </w:t>
      </w:r>
      <w:r w:rsidR="003C4C33" w:rsidRPr="00C002BE">
        <w:rPr>
          <w:rFonts w:cs="Arial"/>
          <w:szCs w:val="22"/>
        </w:rPr>
        <w:t xml:space="preserve">low income/net worth </w:t>
      </w:r>
      <w:r w:rsidR="00896D5D" w:rsidRPr="00C002BE">
        <w:rPr>
          <w:rFonts w:cs="Arial"/>
          <w:szCs w:val="22"/>
        </w:rPr>
        <w:t>household</w:t>
      </w:r>
      <w:r w:rsidR="00737D23" w:rsidRPr="00C002BE">
        <w:rPr>
          <w:rFonts w:cs="Arial"/>
          <w:szCs w:val="22"/>
        </w:rPr>
        <w:t>s – $4.125 million per annum.</w:t>
      </w:r>
    </w:p>
    <w:p w:rsidR="00163B79" w:rsidRPr="00C002BE" w:rsidRDefault="00163B79" w:rsidP="005417CA">
      <w:pPr>
        <w:pStyle w:val="ListParagraph"/>
        <w:ind w:left="0"/>
        <w:jc w:val="both"/>
        <w:rPr>
          <w:rFonts w:ascii="Arial" w:hAnsi="Arial" w:cs="Arial"/>
          <w:sz w:val="22"/>
          <w:szCs w:val="22"/>
        </w:rPr>
      </w:pPr>
    </w:p>
    <w:p w:rsidR="00430CA8" w:rsidRPr="00C002BE" w:rsidRDefault="000A5502" w:rsidP="005417CA">
      <w:pPr>
        <w:pStyle w:val="MoENumberedList"/>
        <w:spacing w:after="0"/>
        <w:ind w:left="0" w:firstLine="0"/>
        <w:jc w:val="both"/>
        <w:rPr>
          <w:rFonts w:cs="Arial"/>
          <w:sz w:val="22"/>
          <w:szCs w:val="22"/>
        </w:rPr>
      </w:pPr>
      <w:r w:rsidRPr="00C002BE">
        <w:rPr>
          <w:rFonts w:cs="Arial"/>
          <w:sz w:val="22"/>
          <w:szCs w:val="22"/>
        </w:rPr>
        <w:t>The pool mechanism places a fiscal limit on the total value of funding provided to the private school sector.</w:t>
      </w:r>
      <w:r w:rsidR="00266C57">
        <w:rPr>
          <w:rFonts w:cs="Arial"/>
          <w:sz w:val="22"/>
          <w:szCs w:val="22"/>
        </w:rPr>
        <w:t xml:space="preserve"> However,</w:t>
      </w:r>
      <w:r w:rsidRPr="00C002BE">
        <w:rPr>
          <w:rFonts w:cs="Arial"/>
          <w:sz w:val="22"/>
          <w:szCs w:val="22"/>
        </w:rPr>
        <w:t xml:space="preserve"> </w:t>
      </w:r>
      <w:r w:rsidR="00266C57">
        <w:rPr>
          <w:rFonts w:cs="Arial"/>
          <w:sz w:val="22"/>
          <w:szCs w:val="22"/>
        </w:rPr>
        <w:t>i</w:t>
      </w:r>
      <w:r w:rsidR="00527EF1" w:rsidRPr="00C002BE">
        <w:rPr>
          <w:rFonts w:cs="Arial"/>
          <w:sz w:val="22"/>
          <w:szCs w:val="22"/>
        </w:rPr>
        <w:t xml:space="preserve">t means that private schools and families </w:t>
      </w:r>
      <w:r w:rsidR="000C144E">
        <w:rPr>
          <w:rFonts w:cs="Arial"/>
          <w:sz w:val="22"/>
          <w:szCs w:val="22"/>
        </w:rPr>
        <w:t>that</w:t>
      </w:r>
      <w:r w:rsidR="00266C57">
        <w:rPr>
          <w:rFonts w:cs="Arial"/>
          <w:sz w:val="22"/>
          <w:szCs w:val="22"/>
        </w:rPr>
        <w:t xml:space="preserve"> choose to send their children to </w:t>
      </w:r>
      <w:r w:rsidR="00266C57">
        <w:rPr>
          <w:rFonts w:cs="Arial"/>
          <w:sz w:val="22"/>
          <w:szCs w:val="22"/>
        </w:rPr>
        <w:lastRenderedPageBreak/>
        <w:t xml:space="preserve">private schools </w:t>
      </w:r>
      <w:r w:rsidR="00527EF1" w:rsidRPr="00C002BE">
        <w:rPr>
          <w:rFonts w:cs="Arial"/>
          <w:sz w:val="22"/>
          <w:szCs w:val="22"/>
        </w:rPr>
        <w:t>do not have funding certainty</w:t>
      </w:r>
      <w:r w:rsidR="00207B98">
        <w:rPr>
          <w:rFonts w:cs="Arial"/>
          <w:sz w:val="22"/>
          <w:szCs w:val="22"/>
        </w:rPr>
        <w:t>, as t</w:t>
      </w:r>
      <w:r w:rsidR="00527EF1" w:rsidRPr="00C002BE">
        <w:rPr>
          <w:rFonts w:cs="Arial"/>
          <w:sz w:val="22"/>
          <w:szCs w:val="22"/>
        </w:rPr>
        <w:t>he per-student subsidy varies with total sector enrolments</w:t>
      </w:r>
      <w:r w:rsidR="00207B98">
        <w:rPr>
          <w:rFonts w:cs="Arial"/>
          <w:sz w:val="22"/>
          <w:szCs w:val="22"/>
        </w:rPr>
        <w:t>.</w:t>
      </w:r>
      <w:r w:rsidR="00527EF1" w:rsidRPr="00C002BE">
        <w:rPr>
          <w:rFonts w:cs="Arial"/>
          <w:sz w:val="22"/>
          <w:szCs w:val="22"/>
        </w:rPr>
        <w:t xml:space="preserve"> </w:t>
      </w:r>
      <w:r w:rsidR="00207B98">
        <w:rPr>
          <w:rFonts w:cs="Arial"/>
          <w:sz w:val="22"/>
          <w:szCs w:val="22"/>
        </w:rPr>
        <w:t>T</w:t>
      </w:r>
      <w:r w:rsidR="00527EF1" w:rsidRPr="00C002BE">
        <w:rPr>
          <w:rFonts w:cs="Arial"/>
          <w:sz w:val="22"/>
          <w:szCs w:val="22"/>
        </w:rPr>
        <w:t xml:space="preserve">he value of the subsidy tends to </w:t>
      </w:r>
      <w:r w:rsidR="00430CA8" w:rsidRPr="00C002BE">
        <w:rPr>
          <w:rFonts w:cs="Arial"/>
          <w:sz w:val="22"/>
          <w:szCs w:val="22"/>
        </w:rPr>
        <w:t>fall in real terms over time and relative to the state sector, until concerns build around the overall financial viability of the sector</w:t>
      </w:r>
      <w:r w:rsidR="00527EF1" w:rsidRPr="00C002BE">
        <w:rPr>
          <w:rFonts w:cs="Arial"/>
          <w:sz w:val="22"/>
          <w:szCs w:val="22"/>
        </w:rPr>
        <w:t xml:space="preserve"> and a specific decision is made to increase the value of the funding pool.</w:t>
      </w:r>
    </w:p>
    <w:p w:rsidR="002B2A6A" w:rsidRPr="00C002BE" w:rsidRDefault="002B2A6A" w:rsidP="005417CA">
      <w:pPr>
        <w:pStyle w:val="MoENumberedList"/>
        <w:spacing w:after="0"/>
        <w:ind w:left="0" w:firstLine="0"/>
        <w:jc w:val="both"/>
        <w:rPr>
          <w:rFonts w:cs="Arial"/>
          <w:sz w:val="22"/>
          <w:szCs w:val="22"/>
        </w:rPr>
      </w:pPr>
    </w:p>
    <w:p w:rsidR="002B2A6A" w:rsidRDefault="006E789B" w:rsidP="005417CA">
      <w:pPr>
        <w:pStyle w:val="MoENumberedList"/>
        <w:spacing w:after="0"/>
        <w:ind w:left="0" w:firstLine="0"/>
        <w:jc w:val="both"/>
        <w:rPr>
          <w:rFonts w:cs="Arial"/>
          <w:sz w:val="22"/>
          <w:szCs w:val="22"/>
        </w:rPr>
      </w:pPr>
      <w:r>
        <w:rPr>
          <w:rFonts w:cs="Arial"/>
          <w:sz w:val="22"/>
          <w:szCs w:val="22"/>
        </w:rPr>
        <w:t xml:space="preserve">There is a risk that </w:t>
      </w:r>
      <w:r w:rsidR="002B2A6A" w:rsidRPr="00C002BE">
        <w:rPr>
          <w:rFonts w:cs="Arial"/>
          <w:sz w:val="22"/>
          <w:szCs w:val="22"/>
        </w:rPr>
        <w:t>current funding arrangement</w:t>
      </w:r>
      <w:r w:rsidR="004E6D11" w:rsidRPr="00C002BE">
        <w:rPr>
          <w:rFonts w:cs="Arial"/>
          <w:sz w:val="22"/>
          <w:szCs w:val="22"/>
        </w:rPr>
        <w:t>s</w:t>
      </w:r>
      <w:r w:rsidR="002B2A6A" w:rsidRPr="00C002BE">
        <w:rPr>
          <w:rFonts w:cs="Arial"/>
          <w:sz w:val="22"/>
          <w:szCs w:val="22"/>
        </w:rPr>
        <w:t xml:space="preserve"> for private schools will lead to a continued gradual decline in the share of total enrolments in the private school sector</w:t>
      </w:r>
      <w:r w:rsidR="00527EF1" w:rsidRPr="00C002BE">
        <w:rPr>
          <w:rFonts w:cs="Arial"/>
          <w:sz w:val="22"/>
          <w:szCs w:val="22"/>
        </w:rPr>
        <w:t xml:space="preserve"> and ongoing pressure by a number of private schools for integration into the state sector. </w:t>
      </w:r>
      <w:r>
        <w:rPr>
          <w:rFonts w:cs="Arial"/>
          <w:sz w:val="22"/>
          <w:szCs w:val="22"/>
        </w:rPr>
        <w:t>Should this occur,</w:t>
      </w:r>
      <w:r w:rsidR="002B2A6A" w:rsidRPr="00C002BE">
        <w:rPr>
          <w:rFonts w:cs="Arial"/>
          <w:sz w:val="22"/>
          <w:szCs w:val="22"/>
        </w:rPr>
        <w:t xml:space="preserve"> it would increase the overall fiscal cost of schooling.</w:t>
      </w:r>
    </w:p>
    <w:p w:rsidR="005417CA" w:rsidRPr="00C002BE" w:rsidRDefault="005417CA" w:rsidP="005417CA">
      <w:pPr>
        <w:pStyle w:val="MoENumberedList"/>
        <w:spacing w:after="0"/>
        <w:ind w:left="0" w:firstLine="0"/>
        <w:jc w:val="both"/>
        <w:rPr>
          <w:rFonts w:cs="Arial"/>
          <w:sz w:val="22"/>
          <w:szCs w:val="22"/>
        </w:rPr>
      </w:pPr>
    </w:p>
    <w:p w:rsidR="00163B79" w:rsidRDefault="00163B79" w:rsidP="005417CA">
      <w:pPr>
        <w:pStyle w:val="BlueSubheading3"/>
        <w:spacing w:before="0" w:after="0"/>
        <w:jc w:val="both"/>
        <w:rPr>
          <w:rFonts w:cs="Arial"/>
          <w:sz w:val="24"/>
        </w:rPr>
      </w:pPr>
      <w:r w:rsidRPr="00C002BE">
        <w:rPr>
          <w:rFonts w:cs="Arial"/>
          <w:sz w:val="24"/>
        </w:rPr>
        <w:t>Funding arrangements in other countries</w:t>
      </w:r>
    </w:p>
    <w:p w:rsidR="005417CA" w:rsidRPr="005417CA" w:rsidRDefault="005417CA" w:rsidP="005417CA">
      <w:pPr>
        <w:pStyle w:val="BlueSubheading3"/>
        <w:spacing w:before="0" w:after="0"/>
        <w:jc w:val="both"/>
        <w:rPr>
          <w:rFonts w:cs="Arial"/>
          <w:sz w:val="22"/>
        </w:rPr>
      </w:pPr>
    </w:p>
    <w:p w:rsidR="00163B79" w:rsidRPr="00C002BE" w:rsidRDefault="006E789B" w:rsidP="005417CA">
      <w:pPr>
        <w:pStyle w:val="ListParagraph"/>
        <w:ind w:left="0"/>
        <w:jc w:val="both"/>
        <w:rPr>
          <w:rFonts w:ascii="Arial" w:hAnsi="Arial" w:cs="Arial"/>
          <w:sz w:val="22"/>
          <w:szCs w:val="22"/>
        </w:rPr>
      </w:pPr>
      <w:r>
        <w:rPr>
          <w:rFonts w:ascii="Arial" w:hAnsi="Arial" w:cs="Arial"/>
          <w:sz w:val="22"/>
          <w:szCs w:val="22"/>
        </w:rPr>
        <w:t>A</w:t>
      </w:r>
      <w:r w:rsidR="00163B79" w:rsidRPr="00C002BE">
        <w:rPr>
          <w:rFonts w:ascii="Arial" w:hAnsi="Arial" w:cs="Arial"/>
          <w:sz w:val="22"/>
          <w:szCs w:val="22"/>
        </w:rPr>
        <w:t xml:space="preserve">rrangements for funding private schools vary widely across countries. </w:t>
      </w:r>
      <w:r w:rsidR="00E34534" w:rsidRPr="00C002BE">
        <w:rPr>
          <w:rFonts w:ascii="Arial" w:hAnsi="Arial" w:cs="Arial"/>
          <w:sz w:val="22"/>
          <w:szCs w:val="22"/>
        </w:rPr>
        <w:t>Th</w:t>
      </w:r>
      <w:r w:rsidR="00315D7F" w:rsidRPr="00C002BE">
        <w:rPr>
          <w:rFonts w:ascii="Arial" w:hAnsi="Arial" w:cs="Arial"/>
          <w:sz w:val="22"/>
          <w:szCs w:val="22"/>
        </w:rPr>
        <w:t xml:space="preserve">ey can be affected by the constitutional relationship between church and state, given many private schools are faith-based. The arrangements </w:t>
      </w:r>
      <w:r w:rsidR="00E94222">
        <w:rPr>
          <w:rFonts w:ascii="Arial" w:hAnsi="Arial" w:cs="Arial"/>
          <w:sz w:val="22"/>
          <w:szCs w:val="22"/>
        </w:rPr>
        <w:t>also reflect</w:t>
      </w:r>
      <w:r w:rsidR="00315D7F" w:rsidRPr="00C002BE">
        <w:rPr>
          <w:rFonts w:ascii="Arial" w:hAnsi="Arial" w:cs="Arial"/>
          <w:sz w:val="22"/>
          <w:szCs w:val="22"/>
        </w:rPr>
        <w:t xml:space="preserve"> </w:t>
      </w:r>
      <w:r w:rsidR="00E34534" w:rsidRPr="00C002BE">
        <w:rPr>
          <w:rFonts w:ascii="Arial" w:hAnsi="Arial" w:cs="Arial"/>
          <w:sz w:val="22"/>
          <w:szCs w:val="22"/>
        </w:rPr>
        <w:t xml:space="preserve">differences in </w:t>
      </w:r>
      <w:r w:rsidR="00163B79" w:rsidRPr="00C002BE">
        <w:rPr>
          <w:rFonts w:ascii="Arial" w:hAnsi="Arial" w:cs="Arial"/>
          <w:sz w:val="22"/>
          <w:szCs w:val="22"/>
        </w:rPr>
        <w:t>the regulatory framework</w:t>
      </w:r>
      <w:r w:rsidR="00E34534" w:rsidRPr="00C002BE">
        <w:rPr>
          <w:rFonts w:ascii="Arial" w:hAnsi="Arial" w:cs="Arial"/>
          <w:sz w:val="22"/>
          <w:szCs w:val="22"/>
        </w:rPr>
        <w:t>s</w:t>
      </w:r>
      <w:r w:rsidR="00163B79" w:rsidRPr="00C002BE">
        <w:rPr>
          <w:rFonts w:ascii="Arial" w:hAnsi="Arial" w:cs="Arial"/>
          <w:sz w:val="22"/>
          <w:szCs w:val="22"/>
        </w:rPr>
        <w:t xml:space="preserve"> </w:t>
      </w:r>
      <w:r>
        <w:rPr>
          <w:rFonts w:ascii="Arial" w:hAnsi="Arial" w:cs="Arial"/>
          <w:sz w:val="22"/>
          <w:szCs w:val="22"/>
        </w:rPr>
        <w:t>that apply to th</w:t>
      </w:r>
      <w:r w:rsidR="00B94073">
        <w:rPr>
          <w:rFonts w:ascii="Arial" w:hAnsi="Arial" w:cs="Arial"/>
          <w:sz w:val="22"/>
          <w:szCs w:val="22"/>
        </w:rPr>
        <w:t>e</w:t>
      </w:r>
      <w:r>
        <w:rPr>
          <w:rFonts w:ascii="Arial" w:hAnsi="Arial" w:cs="Arial"/>
          <w:sz w:val="22"/>
          <w:szCs w:val="22"/>
        </w:rPr>
        <w:t>se</w:t>
      </w:r>
      <w:r w:rsidR="00163B79" w:rsidRPr="00C002BE">
        <w:rPr>
          <w:rFonts w:ascii="Arial" w:hAnsi="Arial" w:cs="Arial"/>
          <w:sz w:val="22"/>
          <w:szCs w:val="22"/>
        </w:rPr>
        <w:t xml:space="preserve"> schools. </w:t>
      </w:r>
      <w:r w:rsidR="00585959" w:rsidRPr="00C002BE">
        <w:rPr>
          <w:rFonts w:ascii="Arial" w:hAnsi="Arial" w:cs="Arial"/>
          <w:sz w:val="22"/>
          <w:szCs w:val="22"/>
        </w:rPr>
        <w:t>For example, w</w:t>
      </w:r>
      <w:r w:rsidR="002725D8" w:rsidRPr="00C002BE">
        <w:rPr>
          <w:rFonts w:ascii="Arial" w:hAnsi="Arial" w:cs="Arial"/>
          <w:sz w:val="22"/>
          <w:szCs w:val="22"/>
        </w:rPr>
        <w:t xml:space="preserve">here private schools receive full government funding, as in Sweden, they </w:t>
      </w:r>
      <w:r w:rsidR="00E34534" w:rsidRPr="00C002BE">
        <w:rPr>
          <w:rFonts w:ascii="Arial" w:hAnsi="Arial" w:cs="Arial"/>
          <w:sz w:val="22"/>
          <w:szCs w:val="22"/>
        </w:rPr>
        <w:t xml:space="preserve">are </w:t>
      </w:r>
      <w:r w:rsidR="000C0DD5" w:rsidRPr="00C002BE">
        <w:rPr>
          <w:rFonts w:ascii="Arial" w:hAnsi="Arial" w:cs="Arial"/>
          <w:sz w:val="22"/>
          <w:szCs w:val="22"/>
        </w:rPr>
        <w:t xml:space="preserve">often </w:t>
      </w:r>
      <w:r w:rsidR="00E34534" w:rsidRPr="00C002BE">
        <w:rPr>
          <w:rFonts w:ascii="Arial" w:hAnsi="Arial" w:cs="Arial"/>
          <w:sz w:val="22"/>
          <w:szCs w:val="22"/>
        </w:rPr>
        <w:t>restricted from charging fees</w:t>
      </w:r>
      <w:r w:rsidR="000C0DD5" w:rsidRPr="00C002BE">
        <w:rPr>
          <w:rFonts w:ascii="Arial" w:hAnsi="Arial" w:cs="Arial"/>
          <w:sz w:val="22"/>
          <w:szCs w:val="22"/>
        </w:rPr>
        <w:t xml:space="preserve"> or selecting students</w:t>
      </w:r>
      <w:r w:rsidR="00E34534" w:rsidRPr="00C002BE">
        <w:rPr>
          <w:rFonts w:ascii="Arial" w:hAnsi="Arial" w:cs="Arial"/>
          <w:sz w:val="22"/>
          <w:szCs w:val="22"/>
        </w:rPr>
        <w:t>.</w:t>
      </w:r>
    </w:p>
    <w:p w:rsidR="00315D7F" w:rsidRPr="00C002BE" w:rsidRDefault="00315D7F" w:rsidP="005417CA">
      <w:pPr>
        <w:pStyle w:val="ListParagraph"/>
        <w:ind w:left="0"/>
        <w:jc w:val="both"/>
        <w:rPr>
          <w:rFonts w:ascii="Arial" w:hAnsi="Arial" w:cs="Arial"/>
          <w:sz w:val="22"/>
          <w:szCs w:val="22"/>
        </w:rPr>
      </w:pPr>
    </w:p>
    <w:p w:rsidR="00315D7F" w:rsidRPr="00C002BE" w:rsidRDefault="00315D7F" w:rsidP="005417CA">
      <w:pPr>
        <w:pStyle w:val="ListParagraph"/>
        <w:ind w:left="0"/>
        <w:jc w:val="both"/>
        <w:rPr>
          <w:rFonts w:ascii="Arial" w:hAnsi="Arial" w:cs="Arial"/>
          <w:sz w:val="22"/>
          <w:szCs w:val="22"/>
        </w:rPr>
      </w:pPr>
      <w:r w:rsidRPr="00C002BE">
        <w:rPr>
          <w:rFonts w:ascii="Arial" w:hAnsi="Arial" w:cs="Arial"/>
          <w:sz w:val="22"/>
          <w:szCs w:val="22"/>
        </w:rPr>
        <w:t xml:space="preserve">A 2011 review of the Australian funding system – the </w:t>
      </w:r>
      <w:proofErr w:type="spellStart"/>
      <w:r w:rsidRPr="00C002BE">
        <w:rPr>
          <w:rFonts w:ascii="Arial" w:hAnsi="Arial" w:cs="Arial"/>
          <w:i/>
          <w:sz w:val="22"/>
          <w:szCs w:val="22"/>
        </w:rPr>
        <w:t>Gonski</w:t>
      </w:r>
      <w:proofErr w:type="spellEnd"/>
      <w:r w:rsidRPr="00C002BE">
        <w:rPr>
          <w:rFonts w:ascii="Arial" w:hAnsi="Arial" w:cs="Arial"/>
          <w:i/>
          <w:sz w:val="22"/>
          <w:szCs w:val="22"/>
        </w:rPr>
        <w:t xml:space="preserve"> Review</w:t>
      </w:r>
      <w:r w:rsidRPr="00C002BE">
        <w:rPr>
          <w:rFonts w:ascii="Arial" w:hAnsi="Arial" w:cs="Arial"/>
          <w:sz w:val="22"/>
          <w:szCs w:val="22"/>
        </w:rPr>
        <w:t xml:space="preserve"> – propos</w:t>
      </w:r>
      <w:r w:rsidR="006E789B">
        <w:rPr>
          <w:rFonts w:ascii="Arial" w:hAnsi="Arial" w:cs="Arial"/>
          <w:sz w:val="22"/>
          <w:szCs w:val="22"/>
        </w:rPr>
        <w:t xml:space="preserve">ed an integrated framework for </w:t>
      </w:r>
      <w:r w:rsidRPr="00C002BE">
        <w:rPr>
          <w:rFonts w:ascii="Arial" w:hAnsi="Arial" w:cs="Arial"/>
          <w:sz w:val="22"/>
          <w:szCs w:val="22"/>
        </w:rPr>
        <w:t>funding government and non-government schools. In Australia</w:t>
      </w:r>
      <w:r w:rsidR="00250F89" w:rsidRPr="00C002BE">
        <w:rPr>
          <w:rFonts w:ascii="Arial" w:hAnsi="Arial" w:cs="Arial"/>
          <w:sz w:val="22"/>
          <w:szCs w:val="22"/>
        </w:rPr>
        <w:t>,</w:t>
      </w:r>
      <w:r w:rsidRPr="00C002BE">
        <w:rPr>
          <w:rFonts w:ascii="Arial" w:hAnsi="Arial" w:cs="Arial"/>
          <w:sz w:val="22"/>
          <w:szCs w:val="22"/>
        </w:rPr>
        <w:t xml:space="preserve"> non-government schools (which include </w:t>
      </w:r>
      <w:r w:rsidR="008303E0" w:rsidRPr="00C002BE">
        <w:rPr>
          <w:rFonts w:ascii="Arial" w:hAnsi="Arial" w:cs="Arial"/>
          <w:sz w:val="22"/>
          <w:szCs w:val="22"/>
        </w:rPr>
        <w:t xml:space="preserve">schools in </w:t>
      </w:r>
      <w:r w:rsidRPr="00C002BE">
        <w:rPr>
          <w:rFonts w:ascii="Arial" w:hAnsi="Arial" w:cs="Arial"/>
          <w:sz w:val="22"/>
          <w:szCs w:val="22"/>
        </w:rPr>
        <w:t xml:space="preserve">the Catholic </w:t>
      </w:r>
      <w:r w:rsidR="008303E0" w:rsidRPr="00C002BE">
        <w:rPr>
          <w:rFonts w:ascii="Arial" w:hAnsi="Arial" w:cs="Arial"/>
          <w:sz w:val="22"/>
          <w:szCs w:val="22"/>
        </w:rPr>
        <w:t xml:space="preserve">systems </w:t>
      </w:r>
      <w:r w:rsidRPr="00C002BE">
        <w:rPr>
          <w:rFonts w:ascii="Arial" w:hAnsi="Arial" w:cs="Arial"/>
          <w:sz w:val="22"/>
          <w:szCs w:val="22"/>
        </w:rPr>
        <w:t>and other-faith based systems) comprise 34% of total enrolments.</w:t>
      </w:r>
    </w:p>
    <w:p w:rsidR="00315D7F" w:rsidRPr="00C002BE" w:rsidRDefault="00315D7F" w:rsidP="005417CA">
      <w:pPr>
        <w:pStyle w:val="ListParagraph"/>
        <w:ind w:left="0"/>
        <w:jc w:val="both"/>
        <w:rPr>
          <w:rFonts w:ascii="Arial" w:hAnsi="Arial" w:cs="Arial"/>
          <w:sz w:val="22"/>
          <w:szCs w:val="22"/>
        </w:rPr>
      </w:pPr>
    </w:p>
    <w:p w:rsidR="00163B79" w:rsidRDefault="00315D7F" w:rsidP="005417CA">
      <w:pPr>
        <w:pStyle w:val="ListParagraph"/>
        <w:ind w:left="0"/>
        <w:jc w:val="both"/>
        <w:rPr>
          <w:rFonts w:ascii="Arial" w:hAnsi="Arial" w:cs="Arial"/>
          <w:sz w:val="22"/>
          <w:szCs w:val="22"/>
        </w:rPr>
      </w:pPr>
      <w:r w:rsidRPr="00C002BE">
        <w:rPr>
          <w:rFonts w:ascii="Arial" w:hAnsi="Arial" w:cs="Arial"/>
          <w:sz w:val="22"/>
          <w:szCs w:val="22"/>
        </w:rPr>
        <w:t xml:space="preserve">The </w:t>
      </w:r>
      <w:proofErr w:type="spellStart"/>
      <w:r w:rsidRPr="00C002BE">
        <w:rPr>
          <w:rFonts w:ascii="Arial" w:hAnsi="Arial" w:cs="Arial"/>
          <w:sz w:val="22"/>
          <w:szCs w:val="22"/>
        </w:rPr>
        <w:t>Gonski</w:t>
      </w:r>
      <w:proofErr w:type="spellEnd"/>
      <w:r w:rsidRPr="00C002BE">
        <w:rPr>
          <w:rFonts w:ascii="Arial" w:hAnsi="Arial" w:cs="Arial"/>
          <w:sz w:val="22"/>
          <w:szCs w:val="22"/>
        </w:rPr>
        <w:t xml:space="preserve"> Review proposed a basic per-student school resourcing standard for primary and secondary education, with additional loadings to address needs related to socioeconomic background, disability, </w:t>
      </w:r>
      <w:proofErr w:type="gramStart"/>
      <w:r w:rsidRPr="00C002BE">
        <w:rPr>
          <w:rFonts w:ascii="Arial" w:hAnsi="Arial" w:cs="Arial"/>
          <w:sz w:val="22"/>
          <w:szCs w:val="22"/>
        </w:rPr>
        <w:t>English</w:t>
      </w:r>
      <w:proofErr w:type="gramEnd"/>
      <w:r w:rsidRPr="00C002BE">
        <w:rPr>
          <w:rFonts w:ascii="Arial" w:hAnsi="Arial" w:cs="Arial"/>
          <w:sz w:val="22"/>
          <w:szCs w:val="22"/>
        </w:rPr>
        <w:t xml:space="preserve"> language proficiency, the particular needs of indigenous students, </w:t>
      </w:r>
      <w:r w:rsidR="000C144E">
        <w:rPr>
          <w:rFonts w:ascii="Arial" w:hAnsi="Arial" w:cs="Arial"/>
          <w:sz w:val="22"/>
          <w:szCs w:val="22"/>
        </w:rPr>
        <w:t xml:space="preserve">and </w:t>
      </w:r>
      <w:r w:rsidRPr="00C002BE">
        <w:rPr>
          <w:rFonts w:ascii="Arial" w:hAnsi="Arial" w:cs="Arial"/>
          <w:sz w:val="22"/>
          <w:szCs w:val="22"/>
        </w:rPr>
        <w:t xml:space="preserve">school size and location. </w:t>
      </w:r>
      <w:r w:rsidR="00DB65A2" w:rsidRPr="00C002BE">
        <w:rPr>
          <w:rFonts w:ascii="Arial" w:hAnsi="Arial" w:cs="Arial"/>
          <w:sz w:val="22"/>
          <w:szCs w:val="22"/>
        </w:rPr>
        <w:t>It proposed that for non</w:t>
      </w:r>
      <w:r w:rsidR="008303E0" w:rsidRPr="00C002BE">
        <w:rPr>
          <w:rFonts w:ascii="Arial" w:hAnsi="Arial" w:cs="Arial"/>
          <w:sz w:val="22"/>
          <w:szCs w:val="22"/>
        </w:rPr>
        <w:t>-</w:t>
      </w:r>
      <w:r w:rsidR="00DB65A2" w:rsidRPr="00C002BE">
        <w:rPr>
          <w:rFonts w:ascii="Arial" w:hAnsi="Arial" w:cs="Arial"/>
          <w:sz w:val="22"/>
          <w:szCs w:val="22"/>
        </w:rPr>
        <w:t xml:space="preserve">government schools the </w:t>
      </w:r>
      <w:r w:rsidR="008303E0" w:rsidRPr="00C002BE">
        <w:rPr>
          <w:rFonts w:ascii="Arial" w:hAnsi="Arial" w:cs="Arial"/>
          <w:sz w:val="22"/>
          <w:szCs w:val="22"/>
        </w:rPr>
        <w:t xml:space="preserve">cost of the </w:t>
      </w:r>
      <w:r w:rsidR="00DB65A2" w:rsidRPr="00C002BE">
        <w:rPr>
          <w:rFonts w:ascii="Arial" w:hAnsi="Arial" w:cs="Arial"/>
          <w:sz w:val="22"/>
          <w:szCs w:val="22"/>
        </w:rPr>
        <w:t>basic per</w:t>
      </w:r>
      <w:r w:rsidR="00593C0F" w:rsidRPr="00C002BE">
        <w:rPr>
          <w:rFonts w:ascii="Arial" w:hAnsi="Arial" w:cs="Arial"/>
          <w:sz w:val="22"/>
          <w:szCs w:val="22"/>
        </w:rPr>
        <w:t>-</w:t>
      </w:r>
      <w:r w:rsidR="00DB65A2" w:rsidRPr="00C002BE">
        <w:rPr>
          <w:rFonts w:ascii="Arial" w:hAnsi="Arial" w:cs="Arial"/>
          <w:sz w:val="22"/>
          <w:szCs w:val="22"/>
        </w:rPr>
        <w:t xml:space="preserve">student </w:t>
      </w:r>
      <w:r w:rsidR="00593C0F" w:rsidRPr="00C002BE">
        <w:rPr>
          <w:rFonts w:ascii="Arial" w:hAnsi="Arial" w:cs="Arial"/>
          <w:sz w:val="22"/>
          <w:szCs w:val="22"/>
        </w:rPr>
        <w:t>amount</w:t>
      </w:r>
      <w:r w:rsidR="00DB65A2" w:rsidRPr="00C002BE">
        <w:rPr>
          <w:rFonts w:ascii="Arial" w:hAnsi="Arial" w:cs="Arial"/>
          <w:sz w:val="22"/>
          <w:szCs w:val="22"/>
        </w:rPr>
        <w:t xml:space="preserve"> would be </w:t>
      </w:r>
      <w:r w:rsidR="0005279B" w:rsidRPr="00C002BE">
        <w:rPr>
          <w:rFonts w:ascii="Arial" w:hAnsi="Arial" w:cs="Arial"/>
          <w:sz w:val="22"/>
          <w:szCs w:val="22"/>
        </w:rPr>
        <w:t xml:space="preserve">met </w:t>
      </w:r>
      <w:r w:rsidR="000C144E">
        <w:rPr>
          <w:rFonts w:ascii="Arial" w:hAnsi="Arial" w:cs="Arial"/>
          <w:sz w:val="22"/>
          <w:szCs w:val="22"/>
        </w:rPr>
        <w:t xml:space="preserve">jointly </w:t>
      </w:r>
      <w:r w:rsidR="0005279B" w:rsidRPr="00C002BE">
        <w:rPr>
          <w:rFonts w:ascii="Arial" w:hAnsi="Arial" w:cs="Arial"/>
          <w:sz w:val="22"/>
          <w:szCs w:val="22"/>
        </w:rPr>
        <w:t>b</w:t>
      </w:r>
      <w:r w:rsidR="00F1095B" w:rsidRPr="00C002BE">
        <w:rPr>
          <w:rFonts w:ascii="Arial" w:hAnsi="Arial" w:cs="Arial"/>
          <w:sz w:val="22"/>
          <w:szCs w:val="22"/>
        </w:rPr>
        <w:t>y</w:t>
      </w:r>
      <w:r w:rsidR="0005279B" w:rsidRPr="00C002BE">
        <w:rPr>
          <w:rFonts w:ascii="Arial" w:hAnsi="Arial" w:cs="Arial"/>
          <w:sz w:val="22"/>
          <w:szCs w:val="22"/>
        </w:rPr>
        <w:t xml:space="preserve"> governments and private contributions (parents), but the cost of the loading</w:t>
      </w:r>
      <w:r w:rsidR="00250F89" w:rsidRPr="00C002BE">
        <w:rPr>
          <w:rFonts w:ascii="Arial" w:hAnsi="Arial" w:cs="Arial"/>
          <w:sz w:val="22"/>
          <w:szCs w:val="22"/>
        </w:rPr>
        <w:t>s</w:t>
      </w:r>
      <w:r w:rsidR="0005279B" w:rsidRPr="00C002BE">
        <w:rPr>
          <w:rFonts w:ascii="Arial" w:hAnsi="Arial" w:cs="Arial"/>
          <w:sz w:val="22"/>
          <w:szCs w:val="22"/>
        </w:rPr>
        <w:t xml:space="preserve"> would be fully funded by governments. The </w:t>
      </w:r>
      <w:r w:rsidR="000C144E">
        <w:rPr>
          <w:rFonts w:ascii="Arial" w:hAnsi="Arial" w:cs="Arial"/>
          <w:sz w:val="22"/>
          <w:szCs w:val="22"/>
        </w:rPr>
        <w:t>G</w:t>
      </w:r>
      <w:r w:rsidR="00315429" w:rsidRPr="00C002BE">
        <w:rPr>
          <w:rFonts w:ascii="Arial" w:hAnsi="Arial" w:cs="Arial"/>
          <w:sz w:val="22"/>
          <w:szCs w:val="22"/>
        </w:rPr>
        <w:t>overnment</w:t>
      </w:r>
      <w:r w:rsidR="0005279B" w:rsidRPr="00C002BE">
        <w:rPr>
          <w:rFonts w:ascii="Arial" w:hAnsi="Arial" w:cs="Arial"/>
          <w:sz w:val="22"/>
          <w:szCs w:val="22"/>
        </w:rPr>
        <w:t xml:space="preserve"> contribution would be based on a measure of the school community’s capacity to contribute financially</w:t>
      </w:r>
      <w:r w:rsidR="0053787A" w:rsidRPr="00C002BE">
        <w:rPr>
          <w:rFonts w:ascii="Arial" w:hAnsi="Arial" w:cs="Arial"/>
          <w:sz w:val="22"/>
          <w:szCs w:val="22"/>
        </w:rPr>
        <w:t>, such as parental socioeconomic status</w:t>
      </w:r>
      <w:r w:rsidR="0005279B" w:rsidRPr="00C002BE">
        <w:rPr>
          <w:rFonts w:ascii="Arial" w:hAnsi="Arial" w:cs="Arial"/>
          <w:sz w:val="22"/>
          <w:szCs w:val="22"/>
        </w:rPr>
        <w:t>.</w:t>
      </w:r>
      <w:r w:rsidR="004E6D11" w:rsidRPr="00C002BE">
        <w:rPr>
          <w:rStyle w:val="FootnoteReference"/>
          <w:rFonts w:ascii="Arial" w:hAnsi="Arial" w:cs="Arial"/>
          <w:sz w:val="22"/>
          <w:szCs w:val="22"/>
        </w:rPr>
        <w:footnoteReference w:id="3"/>
      </w:r>
    </w:p>
    <w:p w:rsidR="005417CA" w:rsidRPr="00C002BE" w:rsidRDefault="005417CA" w:rsidP="005417CA">
      <w:pPr>
        <w:pStyle w:val="ListParagraph"/>
        <w:ind w:left="0"/>
        <w:jc w:val="both"/>
        <w:rPr>
          <w:rFonts w:ascii="Arial" w:hAnsi="Arial" w:cs="Arial"/>
          <w:sz w:val="22"/>
          <w:szCs w:val="22"/>
        </w:rPr>
      </w:pPr>
    </w:p>
    <w:p w:rsidR="00163B79" w:rsidRDefault="00163B79" w:rsidP="005417CA">
      <w:pPr>
        <w:pStyle w:val="BlueSubheading3"/>
        <w:spacing w:before="0" w:after="0"/>
        <w:jc w:val="both"/>
        <w:rPr>
          <w:rFonts w:cs="Arial"/>
          <w:sz w:val="24"/>
        </w:rPr>
      </w:pPr>
      <w:r w:rsidRPr="00C002BE">
        <w:rPr>
          <w:rFonts w:cs="Arial"/>
          <w:sz w:val="24"/>
        </w:rPr>
        <w:t>Framework for thinking about funding of private schools</w:t>
      </w:r>
    </w:p>
    <w:p w:rsidR="005417CA" w:rsidRPr="005417CA" w:rsidRDefault="005417CA" w:rsidP="005417CA">
      <w:pPr>
        <w:pStyle w:val="BlueSubheading3"/>
        <w:spacing w:before="0" w:after="0"/>
        <w:jc w:val="both"/>
        <w:rPr>
          <w:rFonts w:cs="Arial"/>
          <w:sz w:val="22"/>
        </w:rPr>
      </w:pPr>
    </w:p>
    <w:p w:rsidR="00DB65A2" w:rsidRDefault="00163B79" w:rsidP="005417CA">
      <w:pPr>
        <w:pStyle w:val="ListParagraph"/>
        <w:ind w:left="0"/>
        <w:jc w:val="both"/>
        <w:rPr>
          <w:rFonts w:ascii="Arial" w:hAnsi="Arial" w:cs="Arial"/>
          <w:sz w:val="22"/>
          <w:szCs w:val="22"/>
        </w:rPr>
      </w:pPr>
      <w:r w:rsidRPr="00C002BE">
        <w:rPr>
          <w:rFonts w:ascii="Arial" w:hAnsi="Arial" w:cs="Arial"/>
          <w:sz w:val="22"/>
          <w:szCs w:val="22"/>
        </w:rPr>
        <w:t xml:space="preserve">The </w:t>
      </w:r>
      <w:r w:rsidR="0024310A" w:rsidRPr="00C002BE">
        <w:rPr>
          <w:rFonts w:ascii="Arial" w:hAnsi="Arial" w:cs="Arial"/>
          <w:sz w:val="22"/>
          <w:szCs w:val="22"/>
        </w:rPr>
        <w:t xml:space="preserve">extent of funding that might be provided to private schools is a policy choice. This choice is set in the context of </w:t>
      </w:r>
      <w:r w:rsidR="00DB65A2" w:rsidRPr="00C002BE">
        <w:rPr>
          <w:rFonts w:ascii="Arial" w:hAnsi="Arial" w:cs="Arial"/>
          <w:sz w:val="22"/>
          <w:szCs w:val="22"/>
        </w:rPr>
        <w:t xml:space="preserve">an overall framework </w:t>
      </w:r>
      <w:r w:rsidR="0024310A" w:rsidRPr="00C002BE">
        <w:rPr>
          <w:rFonts w:ascii="Arial" w:hAnsi="Arial" w:cs="Arial"/>
          <w:sz w:val="22"/>
          <w:szCs w:val="22"/>
        </w:rPr>
        <w:t xml:space="preserve">in which </w:t>
      </w:r>
      <w:r w:rsidR="00DB65A2" w:rsidRPr="00C002BE">
        <w:rPr>
          <w:rFonts w:ascii="Arial" w:hAnsi="Arial" w:cs="Arial"/>
          <w:sz w:val="22"/>
          <w:szCs w:val="22"/>
        </w:rPr>
        <w:t xml:space="preserve">schooling is compulsory from age six to sixteen, and </w:t>
      </w:r>
      <w:r w:rsidR="0024310A" w:rsidRPr="00C002BE">
        <w:rPr>
          <w:rFonts w:ascii="Arial" w:hAnsi="Arial" w:cs="Arial"/>
          <w:sz w:val="22"/>
          <w:szCs w:val="22"/>
        </w:rPr>
        <w:t xml:space="preserve">there is </w:t>
      </w:r>
      <w:r w:rsidR="00DB65A2" w:rsidRPr="00C002BE">
        <w:rPr>
          <w:rFonts w:ascii="Arial" w:hAnsi="Arial" w:cs="Arial"/>
          <w:sz w:val="22"/>
          <w:szCs w:val="22"/>
        </w:rPr>
        <w:t>a legal commitment to provide children with a free education through a network of state schools.</w:t>
      </w:r>
      <w:r w:rsidR="0024310A" w:rsidRPr="00C002BE">
        <w:rPr>
          <w:rFonts w:ascii="Arial" w:hAnsi="Arial" w:cs="Arial"/>
          <w:sz w:val="22"/>
          <w:szCs w:val="22"/>
        </w:rPr>
        <w:t xml:space="preserve"> </w:t>
      </w:r>
    </w:p>
    <w:p w:rsidR="005417CA" w:rsidRPr="00C002BE" w:rsidRDefault="005417CA" w:rsidP="005417CA">
      <w:pPr>
        <w:pStyle w:val="ListParagraph"/>
        <w:ind w:left="0"/>
        <w:jc w:val="both"/>
        <w:rPr>
          <w:rFonts w:ascii="Arial" w:hAnsi="Arial" w:cs="Arial"/>
          <w:sz w:val="22"/>
          <w:szCs w:val="22"/>
        </w:rPr>
      </w:pPr>
    </w:p>
    <w:p w:rsidR="0001603F" w:rsidRDefault="000C0DD5" w:rsidP="005417CA">
      <w:pPr>
        <w:pStyle w:val="BlueSubheading3"/>
        <w:spacing w:before="0" w:after="0"/>
        <w:jc w:val="both"/>
        <w:rPr>
          <w:rFonts w:cs="Arial"/>
          <w:i/>
          <w:sz w:val="22"/>
        </w:rPr>
      </w:pPr>
      <w:r w:rsidRPr="00C002BE">
        <w:rPr>
          <w:rFonts w:cs="Arial"/>
          <w:i/>
          <w:sz w:val="22"/>
        </w:rPr>
        <w:t>A subsidy is justified as parents pay taxes</w:t>
      </w:r>
    </w:p>
    <w:p w:rsidR="005417CA" w:rsidRPr="00C002BE" w:rsidRDefault="005417CA" w:rsidP="005417CA">
      <w:pPr>
        <w:pStyle w:val="BlueSubheading3"/>
        <w:spacing w:before="0" w:after="0"/>
        <w:jc w:val="both"/>
        <w:rPr>
          <w:rFonts w:cs="Arial"/>
          <w:i/>
          <w:sz w:val="22"/>
        </w:rPr>
      </w:pPr>
    </w:p>
    <w:p w:rsidR="000C0DD5" w:rsidRDefault="000C0DD5" w:rsidP="005417CA">
      <w:pPr>
        <w:pStyle w:val="ListParagraph"/>
        <w:ind w:left="0"/>
        <w:jc w:val="both"/>
        <w:rPr>
          <w:rFonts w:ascii="Arial" w:hAnsi="Arial" w:cs="Arial"/>
          <w:sz w:val="22"/>
          <w:szCs w:val="22"/>
        </w:rPr>
      </w:pPr>
      <w:r w:rsidRPr="00C002BE">
        <w:rPr>
          <w:rFonts w:ascii="Arial" w:hAnsi="Arial" w:cs="Arial"/>
          <w:sz w:val="22"/>
          <w:szCs w:val="22"/>
        </w:rPr>
        <w:t xml:space="preserve">It is sometimes suggested that </w:t>
      </w:r>
      <w:r w:rsidR="0024310A" w:rsidRPr="00C002BE">
        <w:rPr>
          <w:rFonts w:ascii="Arial" w:hAnsi="Arial" w:cs="Arial"/>
          <w:sz w:val="22"/>
          <w:szCs w:val="22"/>
        </w:rPr>
        <w:t>government</w:t>
      </w:r>
      <w:r w:rsidR="00D62B7E" w:rsidRPr="00C002BE">
        <w:rPr>
          <w:rFonts w:ascii="Arial" w:hAnsi="Arial" w:cs="Arial"/>
          <w:sz w:val="22"/>
          <w:szCs w:val="22"/>
        </w:rPr>
        <w:t>s</w:t>
      </w:r>
      <w:r w:rsidR="0024310A" w:rsidRPr="00C002BE">
        <w:rPr>
          <w:rFonts w:ascii="Arial" w:hAnsi="Arial" w:cs="Arial"/>
          <w:sz w:val="22"/>
          <w:szCs w:val="22"/>
        </w:rPr>
        <w:t xml:space="preserve"> should </w:t>
      </w:r>
      <w:r w:rsidR="00593C0F" w:rsidRPr="00C002BE">
        <w:rPr>
          <w:rFonts w:ascii="Arial" w:hAnsi="Arial" w:cs="Arial"/>
          <w:sz w:val="22"/>
          <w:szCs w:val="22"/>
        </w:rPr>
        <w:t xml:space="preserve">contribute to the cost of private schooling because </w:t>
      </w:r>
      <w:r w:rsidR="0024310A" w:rsidRPr="00C002BE">
        <w:rPr>
          <w:rFonts w:ascii="Arial" w:hAnsi="Arial" w:cs="Arial"/>
          <w:sz w:val="22"/>
          <w:szCs w:val="22"/>
        </w:rPr>
        <w:t>parents of student</w:t>
      </w:r>
      <w:r w:rsidR="00D62B7E" w:rsidRPr="00C002BE">
        <w:rPr>
          <w:rFonts w:ascii="Arial" w:hAnsi="Arial" w:cs="Arial"/>
          <w:sz w:val="22"/>
          <w:szCs w:val="22"/>
        </w:rPr>
        <w:t>s</w:t>
      </w:r>
      <w:r w:rsidR="0024310A" w:rsidRPr="00C002BE">
        <w:rPr>
          <w:rFonts w:ascii="Arial" w:hAnsi="Arial" w:cs="Arial"/>
          <w:sz w:val="22"/>
          <w:szCs w:val="22"/>
        </w:rPr>
        <w:t xml:space="preserve"> attending these schools pay taxes. This on its own does not provide a strong justification. The </w:t>
      </w:r>
      <w:r w:rsidRPr="00C002BE">
        <w:rPr>
          <w:rFonts w:ascii="Arial" w:hAnsi="Arial" w:cs="Arial"/>
          <w:sz w:val="22"/>
          <w:szCs w:val="22"/>
        </w:rPr>
        <w:t>provision of specific services in return for paying taxes is not a principle that underpins the New Zealand tax system. Further, parents who choose to educate their children in private schools continue to have the option to enrol their child in a state school, and hence have access to government funded provision if they choose.</w:t>
      </w:r>
    </w:p>
    <w:p w:rsidR="005417CA" w:rsidRPr="00C002BE" w:rsidRDefault="005417CA" w:rsidP="005417CA">
      <w:pPr>
        <w:pStyle w:val="ListParagraph"/>
        <w:ind w:left="0"/>
        <w:jc w:val="both"/>
        <w:rPr>
          <w:rFonts w:ascii="Arial" w:hAnsi="Arial" w:cs="Arial"/>
          <w:sz w:val="22"/>
          <w:szCs w:val="22"/>
        </w:rPr>
      </w:pPr>
    </w:p>
    <w:p w:rsidR="00163B79" w:rsidRDefault="00163B79" w:rsidP="005417CA">
      <w:pPr>
        <w:pStyle w:val="BlueSubheading3"/>
        <w:spacing w:before="0" w:after="0"/>
        <w:jc w:val="both"/>
        <w:rPr>
          <w:rFonts w:cs="Arial"/>
          <w:i/>
          <w:sz w:val="22"/>
        </w:rPr>
      </w:pPr>
      <w:r w:rsidRPr="00C002BE">
        <w:rPr>
          <w:rFonts w:cs="Arial"/>
          <w:i/>
          <w:sz w:val="22"/>
        </w:rPr>
        <w:t xml:space="preserve">Supporting the principle of parental choice </w:t>
      </w:r>
    </w:p>
    <w:p w:rsidR="005417CA" w:rsidRPr="00C002BE" w:rsidRDefault="005417CA" w:rsidP="005417CA">
      <w:pPr>
        <w:pStyle w:val="BlueSubheading3"/>
        <w:spacing w:before="0" w:after="0"/>
        <w:jc w:val="both"/>
        <w:rPr>
          <w:rFonts w:cs="Arial"/>
          <w:i/>
          <w:sz w:val="22"/>
        </w:rPr>
      </w:pPr>
    </w:p>
    <w:p w:rsidR="00163B79" w:rsidRDefault="00D62B7E" w:rsidP="005417CA">
      <w:pPr>
        <w:pStyle w:val="ListParagraph"/>
        <w:ind w:left="0"/>
        <w:jc w:val="both"/>
        <w:rPr>
          <w:rFonts w:ascii="Arial" w:hAnsi="Arial" w:cs="Arial"/>
          <w:sz w:val="22"/>
          <w:szCs w:val="22"/>
        </w:rPr>
      </w:pPr>
      <w:r w:rsidRPr="00C002BE">
        <w:rPr>
          <w:rFonts w:ascii="Arial" w:hAnsi="Arial" w:cs="Arial"/>
          <w:sz w:val="22"/>
          <w:szCs w:val="22"/>
        </w:rPr>
        <w:t>G</w:t>
      </w:r>
      <w:r w:rsidR="00163B79" w:rsidRPr="00C002BE">
        <w:rPr>
          <w:rFonts w:ascii="Arial" w:hAnsi="Arial" w:cs="Arial"/>
          <w:sz w:val="22"/>
          <w:szCs w:val="22"/>
        </w:rPr>
        <w:t xml:space="preserve">overnment funding of students attending private schools is </w:t>
      </w:r>
      <w:r w:rsidRPr="00C002BE">
        <w:rPr>
          <w:rFonts w:ascii="Arial" w:hAnsi="Arial" w:cs="Arial"/>
          <w:sz w:val="22"/>
          <w:szCs w:val="22"/>
        </w:rPr>
        <w:t xml:space="preserve">consistent with the principle of parental choice. In exploring this issue it is useful to </w:t>
      </w:r>
      <w:r w:rsidR="00163B79" w:rsidRPr="00C002BE">
        <w:rPr>
          <w:rFonts w:ascii="Arial" w:hAnsi="Arial" w:cs="Arial"/>
          <w:sz w:val="22"/>
          <w:szCs w:val="22"/>
        </w:rPr>
        <w:t>distinguish between choice as intrinsically desirable and as a lever to drive improved educational outcomes for children.</w:t>
      </w:r>
    </w:p>
    <w:p w:rsidR="005417CA" w:rsidRPr="00C002BE" w:rsidRDefault="005417CA" w:rsidP="005417CA">
      <w:pPr>
        <w:pStyle w:val="ListParagraph"/>
        <w:ind w:left="0"/>
        <w:jc w:val="both"/>
        <w:rPr>
          <w:rFonts w:ascii="Arial" w:hAnsi="Arial" w:cs="Arial"/>
          <w:sz w:val="22"/>
          <w:szCs w:val="22"/>
        </w:rPr>
      </w:pPr>
    </w:p>
    <w:p w:rsidR="00163B79" w:rsidRPr="00CE3C0A" w:rsidRDefault="00163B79" w:rsidP="00CE3C0A">
      <w:pPr>
        <w:pStyle w:val="BlueSubheading3"/>
        <w:numPr>
          <w:ilvl w:val="0"/>
          <w:numId w:val="36"/>
        </w:numPr>
        <w:spacing w:before="0" w:after="0"/>
        <w:jc w:val="both"/>
        <w:rPr>
          <w:rFonts w:cs="Arial"/>
          <w:i/>
          <w:sz w:val="22"/>
        </w:rPr>
      </w:pPr>
      <w:r w:rsidRPr="00CE3C0A">
        <w:rPr>
          <w:rFonts w:cs="Arial"/>
          <w:i/>
          <w:sz w:val="22"/>
        </w:rPr>
        <w:t>Choice is desirable in its own right</w:t>
      </w:r>
    </w:p>
    <w:p w:rsidR="005417CA" w:rsidRPr="00C002BE" w:rsidRDefault="005417CA" w:rsidP="005417CA">
      <w:pPr>
        <w:pStyle w:val="BlueSubheading3"/>
        <w:spacing w:before="0" w:after="0"/>
        <w:jc w:val="both"/>
        <w:rPr>
          <w:rFonts w:cs="Arial"/>
          <w:sz w:val="22"/>
        </w:rPr>
      </w:pPr>
    </w:p>
    <w:p w:rsidR="00163B79" w:rsidRPr="00C002BE" w:rsidRDefault="00163B79" w:rsidP="005417CA">
      <w:pPr>
        <w:pStyle w:val="ListParagraph"/>
        <w:ind w:left="0"/>
        <w:jc w:val="both"/>
        <w:rPr>
          <w:rFonts w:ascii="Arial" w:hAnsi="Arial" w:cs="Arial"/>
          <w:sz w:val="22"/>
          <w:szCs w:val="22"/>
        </w:rPr>
      </w:pPr>
      <w:r w:rsidRPr="00C002BE">
        <w:rPr>
          <w:rFonts w:ascii="Arial" w:hAnsi="Arial" w:cs="Arial"/>
          <w:sz w:val="22"/>
          <w:szCs w:val="22"/>
        </w:rPr>
        <w:t>It can be argued that in a liberal society, where there is a compulsory requirement for children to attend school, parents should have an opportunity to exercise some choice around the schooling the</w:t>
      </w:r>
      <w:r w:rsidR="00183708">
        <w:rPr>
          <w:rFonts w:ascii="Arial" w:hAnsi="Arial" w:cs="Arial"/>
          <w:sz w:val="22"/>
          <w:szCs w:val="22"/>
        </w:rPr>
        <w:t>ir</w:t>
      </w:r>
      <w:r w:rsidRPr="00C002BE">
        <w:rPr>
          <w:rFonts w:ascii="Arial" w:hAnsi="Arial" w:cs="Arial"/>
          <w:sz w:val="22"/>
          <w:szCs w:val="22"/>
        </w:rPr>
        <w:t xml:space="preserve"> child receives. For parents to have real choice, alternative provision needs to be affordable and available. In the absence of government funding, many families would not be able to afford to choose private schooling options.</w:t>
      </w:r>
    </w:p>
    <w:p w:rsidR="00D62B7E" w:rsidRPr="00C002BE" w:rsidRDefault="00D62B7E" w:rsidP="005417CA">
      <w:pPr>
        <w:pStyle w:val="ListParagraph"/>
        <w:ind w:left="0"/>
        <w:jc w:val="both"/>
        <w:rPr>
          <w:rFonts w:ascii="Arial" w:hAnsi="Arial" w:cs="Arial"/>
          <w:sz w:val="22"/>
          <w:szCs w:val="22"/>
        </w:rPr>
      </w:pPr>
    </w:p>
    <w:p w:rsidR="00D62B7E" w:rsidRDefault="00D62B7E" w:rsidP="005417CA">
      <w:pPr>
        <w:pStyle w:val="ListParagraph"/>
        <w:ind w:left="0"/>
        <w:jc w:val="both"/>
        <w:rPr>
          <w:rFonts w:ascii="Arial" w:hAnsi="Arial" w:cs="Arial"/>
          <w:sz w:val="22"/>
          <w:szCs w:val="22"/>
        </w:rPr>
      </w:pPr>
      <w:r w:rsidRPr="00C002BE">
        <w:rPr>
          <w:rFonts w:ascii="Arial" w:hAnsi="Arial" w:cs="Arial"/>
          <w:sz w:val="22"/>
          <w:szCs w:val="22"/>
        </w:rPr>
        <w:t xml:space="preserve">At the same time, </w:t>
      </w:r>
      <w:r w:rsidR="00593C0F" w:rsidRPr="00C002BE">
        <w:rPr>
          <w:rFonts w:ascii="Arial" w:hAnsi="Arial" w:cs="Arial"/>
          <w:sz w:val="22"/>
          <w:szCs w:val="22"/>
        </w:rPr>
        <w:t xml:space="preserve">enabling </w:t>
      </w:r>
      <w:r w:rsidRPr="00C002BE">
        <w:rPr>
          <w:rFonts w:ascii="Arial" w:hAnsi="Arial" w:cs="Arial"/>
          <w:sz w:val="22"/>
          <w:szCs w:val="22"/>
        </w:rPr>
        <w:t xml:space="preserve">choice can increase the overall cost of school provision, </w:t>
      </w:r>
      <w:r w:rsidR="00593C0F" w:rsidRPr="00C002BE">
        <w:rPr>
          <w:rFonts w:ascii="Arial" w:hAnsi="Arial" w:cs="Arial"/>
          <w:sz w:val="22"/>
          <w:szCs w:val="22"/>
        </w:rPr>
        <w:t>where it lead</w:t>
      </w:r>
      <w:r w:rsidR="00B13BBD">
        <w:rPr>
          <w:rFonts w:ascii="Arial" w:hAnsi="Arial" w:cs="Arial"/>
          <w:sz w:val="22"/>
          <w:szCs w:val="22"/>
        </w:rPr>
        <w:t>s</w:t>
      </w:r>
      <w:r w:rsidR="00593C0F" w:rsidRPr="00C002BE">
        <w:rPr>
          <w:rFonts w:ascii="Arial" w:hAnsi="Arial" w:cs="Arial"/>
          <w:sz w:val="22"/>
          <w:szCs w:val="22"/>
        </w:rPr>
        <w:t xml:space="preserve"> to the establishment of small schools or </w:t>
      </w:r>
      <w:r w:rsidRPr="00C002BE">
        <w:rPr>
          <w:rFonts w:ascii="Arial" w:hAnsi="Arial" w:cs="Arial"/>
          <w:sz w:val="22"/>
          <w:szCs w:val="22"/>
        </w:rPr>
        <w:t xml:space="preserve">to </w:t>
      </w:r>
      <w:r w:rsidR="000C144E">
        <w:rPr>
          <w:rFonts w:ascii="Arial" w:hAnsi="Arial" w:cs="Arial"/>
          <w:sz w:val="22"/>
          <w:szCs w:val="22"/>
        </w:rPr>
        <w:t xml:space="preserve">a </w:t>
      </w:r>
      <w:r w:rsidRPr="00C002BE">
        <w:rPr>
          <w:rFonts w:ascii="Arial" w:hAnsi="Arial" w:cs="Arial"/>
          <w:sz w:val="22"/>
          <w:szCs w:val="22"/>
        </w:rPr>
        <w:t xml:space="preserve">greater concentration of </w:t>
      </w:r>
      <w:r w:rsidR="00885F9E" w:rsidRPr="00C002BE">
        <w:rPr>
          <w:rFonts w:ascii="Arial" w:hAnsi="Arial" w:cs="Arial"/>
          <w:sz w:val="22"/>
          <w:szCs w:val="22"/>
        </w:rPr>
        <w:t>students from disadvantaged backgrounds in individual schools.</w:t>
      </w:r>
      <w:r w:rsidRPr="00C002BE">
        <w:rPr>
          <w:rFonts w:ascii="Arial" w:hAnsi="Arial" w:cs="Arial"/>
          <w:sz w:val="22"/>
          <w:szCs w:val="22"/>
        </w:rPr>
        <w:t xml:space="preserve"> </w:t>
      </w:r>
    </w:p>
    <w:p w:rsidR="005417CA" w:rsidRPr="00C002BE" w:rsidRDefault="005417CA" w:rsidP="005417CA">
      <w:pPr>
        <w:pStyle w:val="ListParagraph"/>
        <w:ind w:left="0"/>
        <w:jc w:val="both"/>
        <w:rPr>
          <w:rFonts w:ascii="Arial" w:hAnsi="Arial" w:cs="Arial"/>
          <w:sz w:val="22"/>
          <w:szCs w:val="22"/>
        </w:rPr>
      </w:pPr>
    </w:p>
    <w:p w:rsidR="00163B79" w:rsidRPr="00CE3C0A" w:rsidRDefault="00163B79" w:rsidP="00CE3C0A">
      <w:pPr>
        <w:pStyle w:val="BlueSubheading3"/>
        <w:numPr>
          <w:ilvl w:val="0"/>
          <w:numId w:val="36"/>
        </w:numPr>
        <w:spacing w:before="0" w:after="0"/>
        <w:jc w:val="both"/>
        <w:rPr>
          <w:rFonts w:cs="Arial"/>
          <w:i/>
          <w:sz w:val="22"/>
        </w:rPr>
      </w:pPr>
      <w:r w:rsidRPr="00CE3C0A">
        <w:rPr>
          <w:rFonts w:cs="Arial"/>
          <w:i/>
          <w:sz w:val="22"/>
        </w:rPr>
        <w:t>Choice as a means to drive improved educational outcomes</w:t>
      </w:r>
    </w:p>
    <w:p w:rsidR="005417CA" w:rsidRPr="00C002BE" w:rsidRDefault="005417CA" w:rsidP="005417CA">
      <w:pPr>
        <w:pStyle w:val="BlueSubheading3"/>
        <w:spacing w:before="0" w:after="0"/>
        <w:jc w:val="both"/>
        <w:rPr>
          <w:rFonts w:cs="Arial"/>
          <w:sz w:val="22"/>
        </w:rPr>
      </w:pPr>
    </w:p>
    <w:p w:rsidR="00D649D0" w:rsidRPr="00C002BE" w:rsidRDefault="00885F9E" w:rsidP="005417CA">
      <w:pPr>
        <w:pStyle w:val="ListParagraph"/>
        <w:ind w:left="0"/>
        <w:jc w:val="both"/>
        <w:rPr>
          <w:rFonts w:ascii="Arial" w:hAnsi="Arial" w:cs="Arial"/>
          <w:sz w:val="22"/>
          <w:szCs w:val="22"/>
        </w:rPr>
      </w:pPr>
      <w:r w:rsidRPr="00C002BE">
        <w:rPr>
          <w:rFonts w:ascii="Arial" w:hAnsi="Arial" w:cs="Arial"/>
          <w:sz w:val="22"/>
          <w:szCs w:val="22"/>
        </w:rPr>
        <w:t>In general, private schools in New Zealand have sound educational outcomes. In light of this performance</w:t>
      </w:r>
      <w:r w:rsidR="00D649D0" w:rsidRPr="00C002BE">
        <w:rPr>
          <w:rFonts w:ascii="Arial" w:hAnsi="Arial" w:cs="Arial"/>
          <w:sz w:val="22"/>
          <w:szCs w:val="22"/>
        </w:rPr>
        <w:t xml:space="preserve">, it is sometimes suggested that private schools create useful competitive pressure or tension in the system </w:t>
      </w:r>
      <w:r w:rsidR="00163B79" w:rsidRPr="00C002BE">
        <w:rPr>
          <w:rFonts w:ascii="Arial" w:hAnsi="Arial" w:cs="Arial"/>
          <w:sz w:val="22"/>
          <w:szCs w:val="22"/>
        </w:rPr>
        <w:t xml:space="preserve">that can support innovation and drive improved educational outcomes. </w:t>
      </w:r>
    </w:p>
    <w:p w:rsidR="00D649D0" w:rsidRPr="00C002BE" w:rsidRDefault="00D649D0" w:rsidP="005417CA">
      <w:pPr>
        <w:pStyle w:val="ListParagraph"/>
        <w:ind w:left="0"/>
        <w:jc w:val="both"/>
        <w:rPr>
          <w:rFonts w:ascii="Arial" w:hAnsi="Arial" w:cs="Arial"/>
          <w:sz w:val="22"/>
          <w:szCs w:val="22"/>
        </w:rPr>
      </w:pPr>
    </w:p>
    <w:p w:rsidR="00493A6D" w:rsidRPr="00C002BE" w:rsidRDefault="00D649D0" w:rsidP="005417CA">
      <w:pPr>
        <w:pStyle w:val="ListParagraph"/>
        <w:ind w:left="0"/>
        <w:jc w:val="both"/>
        <w:rPr>
          <w:rFonts w:ascii="Arial" w:hAnsi="Arial" w:cs="Arial"/>
          <w:sz w:val="22"/>
          <w:szCs w:val="22"/>
        </w:rPr>
      </w:pPr>
      <w:r w:rsidRPr="00C002BE">
        <w:rPr>
          <w:rFonts w:ascii="Arial" w:hAnsi="Arial" w:cs="Arial"/>
          <w:sz w:val="22"/>
          <w:szCs w:val="22"/>
        </w:rPr>
        <w:t>T</w:t>
      </w:r>
      <w:r w:rsidR="00163B79" w:rsidRPr="00C002BE">
        <w:rPr>
          <w:rFonts w:ascii="Arial" w:hAnsi="Arial" w:cs="Arial"/>
          <w:sz w:val="22"/>
          <w:szCs w:val="22"/>
        </w:rPr>
        <w:t xml:space="preserve">he evidence that private schooling leads to improved educational outcomes </w:t>
      </w:r>
      <w:r w:rsidRPr="00C002BE">
        <w:rPr>
          <w:rFonts w:ascii="Arial" w:hAnsi="Arial" w:cs="Arial"/>
          <w:sz w:val="22"/>
          <w:szCs w:val="22"/>
        </w:rPr>
        <w:t xml:space="preserve">at a system level </w:t>
      </w:r>
      <w:r w:rsidR="00163B79" w:rsidRPr="00C002BE">
        <w:rPr>
          <w:rFonts w:ascii="Arial" w:hAnsi="Arial" w:cs="Arial"/>
          <w:sz w:val="22"/>
          <w:szCs w:val="22"/>
        </w:rPr>
        <w:t>is ambiguous.</w:t>
      </w:r>
      <w:r w:rsidRPr="00C002BE">
        <w:rPr>
          <w:rFonts w:ascii="Arial" w:hAnsi="Arial" w:cs="Arial"/>
          <w:sz w:val="22"/>
          <w:szCs w:val="22"/>
        </w:rPr>
        <w:t xml:space="preserve"> </w:t>
      </w:r>
      <w:r w:rsidR="003912C5" w:rsidRPr="00C002BE">
        <w:rPr>
          <w:rFonts w:ascii="Arial" w:hAnsi="Arial" w:cs="Arial"/>
          <w:sz w:val="22"/>
          <w:szCs w:val="22"/>
        </w:rPr>
        <w:t xml:space="preserve">The OECD reports that students who attend private schools tend to perform significantly better in PISA than students who attend public schools, but students in public schools in a similar socioeconomic context as private schools tend to do equally as well. </w:t>
      </w:r>
      <w:r w:rsidR="00163B79" w:rsidRPr="00C002BE">
        <w:rPr>
          <w:rFonts w:ascii="Arial" w:hAnsi="Arial" w:cs="Arial"/>
          <w:sz w:val="22"/>
          <w:szCs w:val="22"/>
        </w:rPr>
        <w:t xml:space="preserve">As </w:t>
      </w:r>
      <w:r w:rsidR="006E789B">
        <w:rPr>
          <w:rFonts w:ascii="Arial" w:hAnsi="Arial" w:cs="Arial"/>
          <w:sz w:val="22"/>
          <w:szCs w:val="22"/>
        </w:rPr>
        <w:t>of</w:t>
      </w:r>
      <w:r w:rsidR="00163B79" w:rsidRPr="00C002BE">
        <w:rPr>
          <w:rFonts w:ascii="Arial" w:hAnsi="Arial" w:cs="Arial"/>
          <w:sz w:val="22"/>
          <w:szCs w:val="22"/>
        </w:rPr>
        <w:t xml:space="preserve"> 2014</w:t>
      </w:r>
      <w:r w:rsidR="006E789B">
        <w:rPr>
          <w:rFonts w:ascii="Arial" w:hAnsi="Arial" w:cs="Arial"/>
          <w:sz w:val="22"/>
          <w:szCs w:val="22"/>
        </w:rPr>
        <w:t>,</w:t>
      </w:r>
      <w:r w:rsidR="00163B79" w:rsidRPr="00C002BE">
        <w:rPr>
          <w:rFonts w:ascii="Arial" w:hAnsi="Arial" w:cs="Arial"/>
          <w:sz w:val="22"/>
          <w:szCs w:val="22"/>
        </w:rPr>
        <w:t xml:space="preserve"> the OECD concluded that there is no clear evidence about the relationship between the prevalence of private schools and academic performance of education systems.</w:t>
      </w:r>
    </w:p>
    <w:p w:rsidR="00493A6D" w:rsidRPr="00C002BE" w:rsidRDefault="00493A6D" w:rsidP="005417CA">
      <w:pPr>
        <w:pStyle w:val="ListParagraph"/>
        <w:ind w:left="0"/>
        <w:jc w:val="both"/>
        <w:rPr>
          <w:rFonts w:ascii="Arial" w:hAnsi="Arial" w:cs="Arial"/>
          <w:sz w:val="22"/>
          <w:szCs w:val="22"/>
        </w:rPr>
      </w:pPr>
    </w:p>
    <w:p w:rsidR="00E03A74" w:rsidRDefault="00D4269B" w:rsidP="005417CA">
      <w:pPr>
        <w:pStyle w:val="ListParagraph"/>
        <w:ind w:left="0"/>
        <w:jc w:val="both"/>
        <w:rPr>
          <w:rFonts w:ascii="Arial" w:hAnsi="Arial" w:cs="Arial"/>
          <w:sz w:val="22"/>
          <w:szCs w:val="22"/>
        </w:rPr>
      </w:pPr>
      <w:r w:rsidRPr="00C002BE">
        <w:rPr>
          <w:rFonts w:ascii="Arial" w:hAnsi="Arial" w:cs="Arial"/>
          <w:sz w:val="22"/>
          <w:szCs w:val="22"/>
        </w:rPr>
        <w:t>The OECD has also noted that</w:t>
      </w:r>
      <w:r w:rsidR="00EF7BDF" w:rsidRPr="00C002BE">
        <w:rPr>
          <w:rFonts w:ascii="Arial" w:hAnsi="Arial" w:cs="Arial"/>
          <w:sz w:val="22"/>
          <w:szCs w:val="22"/>
        </w:rPr>
        <w:t xml:space="preserve"> a</w:t>
      </w:r>
      <w:r w:rsidR="00163B79" w:rsidRPr="00C002BE">
        <w:rPr>
          <w:rFonts w:ascii="Arial" w:hAnsi="Arial" w:cs="Arial"/>
          <w:sz w:val="22"/>
          <w:szCs w:val="22"/>
        </w:rPr>
        <w:t xml:space="preserve"> risk associated with school choice policies, including funding for private schools, is greater segregation of students by ability and socioeconomic background,</w:t>
      </w:r>
      <w:r w:rsidR="007672B1" w:rsidRPr="00C002BE">
        <w:rPr>
          <w:rFonts w:ascii="Arial" w:hAnsi="Arial" w:cs="Arial"/>
          <w:sz w:val="22"/>
          <w:szCs w:val="22"/>
        </w:rPr>
        <w:t xml:space="preserve"> generating greater inequities.</w:t>
      </w:r>
    </w:p>
    <w:p w:rsidR="005417CA" w:rsidRPr="00C002BE" w:rsidRDefault="005417CA" w:rsidP="005417CA">
      <w:pPr>
        <w:pStyle w:val="ListParagraph"/>
        <w:ind w:left="0"/>
        <w:jc w:val="both"/>
        <w:rPr>
          <w:rFonts w:ascii="Arial" w:hAnsi="Arial" w:cs="Arial"/>
          <w:sz w:val="22"/>
          <w:szCs w:val="22"/>
        </w:rPr>
      </w:pPr>
    </w:p>
    <w:p w:rsidR="004E6D11" w:rsidRDefault="004E6D11" w:rsidP="005417CA">
      <w:pPr>
        <w:pStyle w:val="BlueSubheading3"/>
        <w:spacing w:before="0" w:after="0"/>
        <w:jc w:val="both"/>
        <w:rPr>
          <w:rFonts w:cs="Arial"/>
          <w:sz w:val="24"/>
        </w:rPr>
      </w:pPr>
      <w:r w:rsidRPr="00C002BE">
        <w:rPr>
          <w:rFonts w:cs="Arial"/>
          <w:sz w:val="24"/>
        </w:rPr>
        <w:t>Objectives</w:t>
      </w:r>
    </w:p>
    <w:p w:rsidR="005417CA" w:rsidRPr="00C002BE" w:rsidRDefault="005417CA" w:rsidP="005417CA">
      <w:pPr>
        <w:pStyle w:val="BlueSubheading3"/>
        <w:spacing w:before="0" w:after="0"/>
        <w:jc w:val="both"/>
        <w:rPr>
          <w:rFonts w:cs="Arial"/>
          <w:sz w:val="24"/>
        </w:rPr>
      </w:pPr>
    </w:p>
    <w:p w:rsidR="004E6D11" w:rsidRDefault="009D0725" w:rsidP="005417CA">
      <w:pPr>
        <w:pStyle w:val="ListParagraph"/>
        <w:ind w:left="0"/>
        <w:jc w:val="both"/>
        <w:rPr>
          <w:rFonts w:ascii="Arial" w:hAnsi="Arial" w:cs="Arial"/>
          <w:sz w:val="22"/>
          <w:szCs w:val="22"/>
        </w:rPr>
      </w:pPr>
      <w:r w:rsidRPr="00C002BE">
        <w:rPr>
          <w:rFonts w:ascii="Arial" w:hAnsi="Arial" w:cs="Arial"/>
          <w:sz w:val="22"/>
          <w:szCs w:val="22"/>
        </w:rPr>
        <w:t xml:space="preserve">The following are possible objectives for the design of funding arrangements for private schools: </w:t>
      </w:r>
    </w:p>
    <w:p w:rsidR="001C4E90" w:rsidRPr="00C002BE" w:rsidRDefault="001C4E90" w:rsidP="005417CA">
      <w:pPr>
        <w:pStyle w:val="ListParagraph"/>
        <w:ind w:left="0"/>
        <w:jc w:val="both"/>
        <w:rPr>
          <w:rFonts w:ascii="Arial" w:hAnsi="Arial" w:cs="Arial"/>
          <w:sz w:val="22"/>
          <w:szCs w:val="22"/>
        </w:rPr>
      </w:pPr>
    </w:p>
    <w:p w:rsidR="009D0725" w:rsidRDefault="00C01C96" w:rsidP="001C4E90">
      <w:pPr>
        <w:pStyle w:val="ListParagraph"/>
        <w:numPr>
          <w:ilvl w:val="0"/>
          <w:numId w:val="35"/>
        </w:numPr>
        <w:ind w:left="567" w:hanging="283"/>
        <w:jc w:val="both"/>
        <w:rPr>
          <w:rFonts w:ascii="Arial" w:hAnsi="Arial" w:cs="Arial"/>
          <w:sz w:val="22"/>
          <w:szCs w:val="22"/>
        </w:rPr>
      </w:pPr>
      <w:r w:rsidRPr="00C002BE">
        <w:rPr>
          <w:rFonts w:ascii="Arial" w:hAnsi="Arial" w:cs="Arial"/>
          <w:sz w:val="22"/>
          <w:szCs w:val="22"/>
        </w:rPr>
        <w:t xml:space="preserve">the provision of reasonable certainty about government funding to </w:t>
      </w:r>
      <w:r w:rsidR="009D0725" w:rsidRPr="00C002BE">
        <w:rPr>
          <w:rFonts w:ascii="Arial" w:hAnsi="Arial" w:cs="Arial"/>
          <w:sz w:val="22"/>
          <w:szCs w:val="22"/>
        </w:rPr>
        <w:t>schools and families</w:t>
      </w:r>
    </w:p>
    <w:p w:rsidR="006E789B" w:rsidRPr="00C002BE" w:rsidRDefault="006E789B" w:rsidP="006E789B">
      <w:pPr>
        <w:pStyle w:val="ListParagraph"/>
        <w:ind w:left="567"/>
        <w:jc w:val="both"/>
        <w:rPr>
          <w:rFonts w:ascii="Arial" w:hAnsi="Arial" w:cs="Arial"/>
          <w:sz w:val="22"/>
          <w:szCs w:val="22"/>
        </w:rPr>
      </w:pPr>
    </w:p>
    <w:p w:rsidR="009D0725" w:rsidRDefault="00C01C96" w:rsidP="001C4E90">
      <w:pPr>
        <w:pStyle w:val="ListParagraph"/>
        <w:numPr>
          <w:ilvl w:val="0"/>
          <w:numId w:val="35"/>
        </w:numPr>
        <w:ind w:left="567" w:hanging="283"/>
        <w:jc w:val="both"/>
        <w:rPr>
          <w:rFonts w:ascii="Arial" w:hAnsi="Arial" w:cs="Arial"/>
          <w:sz w:val="22"/>
          <w:szCs w:val="22"/>
        </w:rPr>
      </w:pPr>
      <w:r w:rsidRPr="00C002BE">
        <w:rPr>
          <w:rFonts w:ascii="Arial" w:hAnsi="Arial" w:cs="Arial"/>
          <w:sz w:val="22"/>
          <w:szCs w:val="22"/>
        </w:rPr>
        <w:t>to contribute</w:t>
      </w:r>
      <w:r w:rsidR="009D0725" w:rsidRPr="00C002BE">
        <w:rPr>
          <w:rFonts w:ascii="Arial" w:hAnsi="Arial" w:cs="Arial"/>
          <w:sz w:val="22"/>
          <w:szCs w:val="22"/>
        </w:rPr>
        <w:t xml:space="preserve"> to choice for parents through the maintenance of a viable private school sector while not exacerbating the socioeconomic segregation of schooling</w:t>
      </w:r>
    </w:p>
    <w:p w:rsidR="001C4E90" w:rsidRPr="00C002BE" w:rsidRDefault="001C4E90" w:rsidP="001C4E90">
      <w:pPr>
        <w:pStyle w:val="ListParagraph"/>
        <w:ind w:left="567"/>
        <w:jc w:val="both"/>
        <w:rPr>
          <w:rFonts w:ascii="Arial" w:hAnsi="Arial" w:cs="Arial"/>
          <w:sz w:val="22"/>
          <w:szCs w:val="22"/>
        </w:rPr>
      </w:pPr>
    </w:p>
    <w:p w:rsidR="009D0725" w:rsidRDefault="00C01C96" w:rsidP="001C4E90">
      <w:pPr>
        <w:pStyle w:val="ListParagraph"/>
        <w:numPr>
          <w:ilvl w:val="0"/>
          <w:numId w:val="35"/>
        </w:numPr>
        <w:ind w:left="567" w:hanging="283"/>
        <w:jc w:val="both"/>
        <w:rPr>
          <w:rFonts w:ascii="Arial" w:hAnsi="Arial" w:cs="Arial"/>
          <w:sz w:val="22"/>
          <w:szCs w:val="22"/>
        </w:rPr>
      </w:pPr>
      <w:r w:rsidRPr="00C002BE">
        <w:rPr>
          <w:rFonts w:ascii="Arial" w:hAnsi="Arial" w:cs="Arial"/>
          <w:sz w:val="22"/>
          <w:szCs w:val="22"/>
        </w:rPr>
        <w:t>to mitigate</w:t>
      </w:r>
      <w:r w:rsidR="009D0725" w:rsidRPr="00C002BE">
        <w:rPr>
          <w:rFonts w:ascii="Arial" w:hAnsi="Arial" w:cs="Arial"/>
          <w:sz w:val="22"/>
          <w:szCs w:val="22"/>
        </w:rPr>
        <w:t xml:space="preserve"> the demand for integration of private schools into the state sector</w:t>
      </w:r>
    </w:p>
    <w:p w:rsidR="001C4E90" w:rsidRPr="001C4E90" w:rsidRDefault="001C4E90" w:rsidP="001C4E90">
      <w:pPr>
        <w:jc w:val="both"/>
        <w:rPr>
          <w:rFonts w:ascii="Arial" w:hAnsi="Arial" w:cs="Arial"/>
          <w:sz w:val="22"/>
          <w:szCs w:val="22"/>
        </w:rPr>
      </w:pPr>
    </w:p>
    <w:p w:rsidR="009D0725" w:rsidRDefault="009D0725" w:rsidP="001C4E90">
      <w:pPr>
        <w:pStyle w:val="ListParagraph"/>
        <w:numPr>
          <w:ilvl w:val="0"/>
          <w:numId w:val="35"/>
        </w:numPr>
        <w:ind w:left="567" w:hanging="283"/>
        <w:jc w:val="both"/>
        <w:rPr>
          <w:rFonts w:ascii="Arial" w:hAnsi="Arial" w:cs="Arial"/>
          <w:sz w:val="22"/>
          <w:szCs w:val="22"/>
        </w:rPr>
      </w:pPr>
      <w:r w:rsidRPr="00C002BE">
        <w:rPr>
          <w:rFonts w:ascii="Arial" w:hAnsi="Arial" w:cs="Arial"/>
          <w:sz w:val="22"/>
          <w:szCs w:val="22"/>
        </w:rPr>
        <w:t>align</w:t>
      </w:r>
      <w:r w:rsidR="00C01C96" w:rsidRPr="00C002BE">
        <w:rPr>
          <w:rFonts w:ascii="Arial" w:hAnsi="Arial" w:cs="Arial"/>
          <w:sz w:val="22"/>
          <w:szCs w:val="22"/>
        </w:rPr>
        <w:t>ment</w:t>
      </w:r>
      <w:r w:rsidRPr="00C002BE">
        <w:rPr>
          <w:rFonts w:ascii="Arial" w:hAnsi="Arial" w:cs="Arial"/>
          <w:sz w:val="22"/>
          <w:szCs w:val="22"/>
        </w:rPr>
        <w:t xml:space="preserve"> with the regulatory framework for private schools</w:t>
      </w:r>
    </w:p>
    <w:p w:rsidR="001C4E90" w:rsidRPr="001C4E90" w:rsidRDefault="001C4E90" w:rsidP="001C4E90">
      <w:pPr>
        <w:jc w:val="both"/>
        <w:rPr>
          <w:rFonts w:ascii="Arial" w:hAnsi="Arial" w:cs="Arial"/>
          <w:sz w:val="22"/>
          <w:szCs w:val="22"/>
        </w:rPr>
      </w:pPr>
    </w:p>
    <w:p w:rsidR="009D0725" w:rsidRPr="00C002BE" w:rsidRDefault="009D0725" w:rsidP="001C4E90">
      <w:pPr>
        <w:pStyle w:val="ListParagraph"/>
        <w:numPr>
          <w:ilvl w:val="0"/>
          <w:numId w:val="35"/>
        </w:numPr>
        <w:ind w:left="567" w:hanging="283"/>
        <w:jc w:val="both"/>
        <w:rPr>
          <w:rFonts w:ascii="Arial" w:hAnsi="Arial" w:cs="Arial"/>
          <w:sz w:val="22"/>
          <w:szCs w:val="22"/>
        </w:rPr>
      </w:pPr>
      <w:proofErr w:type="gramStart"/>
      <w:r w:rsidRPr="00C002BE">
        <w:rPr>
          <w:rFonts w:ascii="Arial" w:hAnsi="Arial" w:cs="Arial"/>
          <w:sz w:val="22"/>
          <w:szCs w:val="22"/>
        </w:rPr>
        <w:t>administrative</w:t>
      </w:r>
      <w:proofErr w:type="gramEnd"/>
      <w:r w:rsidRPr="00C002BE">
        <w:rPr>
          <w:rFonts w:ascii="Arial" w:hAnsi="Arial" w:cs="Arial"/>
          <w:sz w:val="22"/>
          <w:szCs w:val="22"/>
        </w:rPr>
        <w:t xml:space="preserve"> costs for the Crown and compliance costs for schools and families</w:t>
      </w:r>
      <w:r w:rsidR="009B3D72" w:rsidRPr="00C002BE">
        <w:rPr>
          <w:rFonts w:ascii="Arial" w:hAnsi="Arial" w:cs="Arial"/>
          <w:sz w:val="22"/>
          <w:szCs w:val="22"/>
        </w:rPr>
        <w:t xml:space="preserve"> are reasonable.</w:t>
      </w:r>
    </w:p>
    <w:p w:rsidR="009D0725" w:rsidRPr="00C002BE" w:rsidRDefault="009D0725" w:rsidP="009D0725">
      <w:pPr>
        <w:jc w:val="both"/>
        <w:rPr>
          <w:rFonts w:ascii="Arial" w:hAnsi="Arial" w:cs="Arial"/>
          <w:sz w:val="22"/>
          <w:szCs w:val="22"/>
        </w:rPr>
      </w:pPr>
    </w:p>
    <w:p w:rsidR="007A28E1" w:rsidRDefault="00C01C96" w:rsidP="00EA1DD5">
      <w:pPr>
        <w:jc w:val="both"/>
        <w:rPr>
          <w:rFonts w:ascii="Arial" w:hAnsi="Arial" w:cs="Arial"/>
          <w:sz w:val="22"/>
          <w:szCs w:val="22"/>
        </w:rPr>
      </w:pPr>
      <w:r w:rsidRPr="00C002BE">
        <w:rPr>
          <w:rFonts w:ascii="Arial" w:hAnsi="Arial" w:cs="Arial"/>
          <w:sz w:val="22"/>
          <w:szCs w:val="22"/>
        </w:rPr>
        <w:t>T</w:t>
      </w:r>
      <w:r w:rsidR="009D0725" w:rsidRPr="00C002BE">
        <w:rPr>
          <w:rFonts w:ascii="Arial" w:hAnsi="Arial" w:cs="Arial"/>
          <w:sz w:val="22"/>
          <w:szCs w:val="22"/>
        </w:rPr>
        <w:t>rade</w:t>
      </w:r>
      <w:r w:rsidR="000C144E">
        <w:rPr>
          <w:rFonts w:ascii="Arial" w:hAnsi="Arial" w:cs="Arial"/>
          <w:sz w:val="22"/>
          <w:szCs w:val="22"/>
        </w:rPr>
        <w:t>-</w:t>
      </w:r>
      <w:r w:rsidR="009D0725" w:rsidRPr="00C002BE">
        <w:rPr>
          <w:rFonts w:ascii="Arial" w:hAnsi="Arial" w:cs="Arial"/>
          <w:sz w:val="22"/>
          <w:szCs w:val="22"/>
        </w:rPr>
        <w:t xml:space="preserve">offs </w:t>
      </w:r>
      <w:proofErr w:type="gramStart"/>
      <w:r w:rsidR="009D0725" w:rsidRPr="00C002BE">
        <w:rPr>
          <w:rFonts w:ascii="Arial" w:hAnsi="Arial" w:cs="Arial"/>
          <w:sz w:val="22"/>
          <w:szCs w:val="22"/>
        </w:rPr>
        <w:t>are</w:t>
      </w:r>
      <w:proofErr w:type="gramEnd"/>
      <w:r w:rsidR="009D0725" w:rsidRPr="00C002BE">
        <w:rPr>
          <w:rFonts w:ascii="Arial" w:hAnsi="Arial" w:cs="Arial"/>
          <w:sz w:val="22"/>
          <w:szCs w:val="22"/>
        </w:rPr>
        <w:t xml:space="preserve"> likely to be required between these objectives.</w:t>
      </w:r>
    </w:p>
    <w:p w:rsidR="00A12963" w:rsidRDefault="00A12963" w:rsidP="00EA1DD5">
      <w:pPr>
        <w:jc w:val="both"/>
        <w:rPr>
          <w:rFonts w:ascii="Arial" w:hAnsi="Arial" w:cs="Arial"/>
          <w:sz w:val="22"/>
          <w:szCs w:val="22"/>
        </w:rPr>
      </w:pPr>
    </w:p>
    <w:p w:rsidR="00CE3C0A" w:rsidRDefault="00CE3C0A" w:rsidP="00B94073">
      <w:pPr>
        <w:pBdr>
          <w:top w:val="single" w:sz="12" w:space="1" w:color="auto"/>
          <w:left w:val="single" w:sz="12" w:space="4" w:color="auto"/>
          <w:bottom w:val="single" w:sz="12" w:space="13" w:color="auto"/>
          <w:right w:val="single" w:sz="12" w:space="0" w:color="auto"/>
        </w:pBdr>
        <w:ind w:right="84"/>
        <w:rPr>
          <w:rFonts w:ascii="Arial" w:hAnsi="Arial" w:cs="Arial"/>
          <w:i/>
          <w:sz w:val="22"/>
        </w:rPr>
      </w:pPr>
      <w:r>
        <w:rPr>
          <w:rFonts w:ascii="Arial" w:hAnsi="Arial" w:cs="Arial"/>
          <w:i/>
          <w:sz w:val="22"/>
        </w:rPr>
        <w:t>Question for discussion</w:t>
      </w:r>
    </w:p>
    <w:p w:rsidR="00CE3C0A" w:rsidRDefault="00CE3C0A" w:rsidP="00B94073">
      <w:pPr>
        <w:pBdr>
          <w:top w:val="single" w:sz="12" w:space="1" w:color="auto"/>
          <w:left w:val="single" w:sz="12" w:space="4" w:color="auto"/>
          <w:bottom w:val="single" w:sz="12" w:space="13" w:color="auto"/>
          <w:right w:val="single" w:sz="12" w:space="0" w:color="auto"/>
        </w:pBdr>
        <w:ind w:right="84"/>
        <w:rPr>
          <w:rFonts w:ascii="Arial" w:hAnsi="Arial" w:cs="Arial"/>
          <w:i/>
          <w:sz w:val="22"/>
        </w:rPr>
      </w:pPr>
    </w:p>
    <w:p w:rsidR="00676B77" w:rsidRDefault="00676B77" w:rsidP="00B94073">
      <w:pPr>
        <w:pBdr>
          <w:top w:val="single" w:sz="12" w:space="1" w:color="auto"/>
          <w:left w:val="single" w:sz="12" w:space="4" w:color="auto"/>
          <w:bottom w:val="single" w:sz="12" w:space="13" w:color="auto"/>
          <w:right w:val="single" w:sz="12" w:space="0" w:color="auto"/>
        </w:pBdr>
        <w:ind w:right="84"/>
        <w:rPr>
          <w:rFonts w:ascii="Arial" w:hAnsi="Arial" w:cs="Arial"/>
          <w:i/>
          <w:sz w:val="22"/>
        </w:rPr>
      </w:pPr>
      <w:r w:rsidRPr="001C4E90">
        <w:rPr>
          <w:rFonts w:ascii="Arial" w:hAnsi="Arial" w:cs="Arial"/>
          <w:i/>
          <w:sz w:val="22"/>
        </w:rPr>
        <w:t>Are these appropriate objectives to inform the design of funding arrangements for private schools?</w:t>
      </w:r>
    </w:p>
    <w:p w:rsidR="005417CA" w:rsidRDefault="005417CA" w:rsidP="005417CA">
      <w:pPr>
        <w:pStyle w:val="BlueSubheading3"/>
        <w:spacing w:before="0" w:after="0"/>
        <w:jc w:val="both"/>
        <w:rPr>
          <w:rFonts w:cs="Arial"/>
          <w:sz w:val="24"/>
        </w:rPr>
      </w:pPr>
    </w:p>
    <w:p w:rsidR="0021532C" w:rsidRDefault="001F70CD" w:rsidP="005417CA">
      <w:pPr>
        <w:pStyle w:val="BlueSubheading3"/>
        <w:spacing w:before="0" w:after="0"/>
        <w:jc w:val="both"/>
        <w:rPr>
          <w:rFonts w:cs="Arial"/>
          <w:sz w:val="24"/>
        </w:rPr>
      </w:pPr>
      <w:r w:rsidRPr="00C002BE">
        <w:rPr>
          <w:rFonts w:cs="Arial"/>
          <w:sz w:val="24"/>
        </w:rPr>
        <w:t>A possible framework</w:t>
      </w:r>
    </w:p>
    <w:p w:rsidR="005417CA" w:rsidRPr="001C4E90" w:rsidRDefault="005417CA" w:rsidP="005417CA">
      <w:pPr>
        <w:pStyle w:val="BlueSubheading3"/>
        <w:spacing w:before="0" w:after="0"/>
        <w:jc w:val="both"/>
        <w:rPr>
          <w:rFonts w:cs="Arial"/>
          <w:sz w:val="22"/>
        </w:rPr>
      </w:pPr>
    </w:p>
    <w:p w:rsidR="00210728" w:rsidRPr="00C002BE" w:rsidRDefault="001F70CD" w:rsidP="005417CA">
      <w:pPr>
        <w:pStyle w:val="MoENumberedList"/>
        <w:spacing w:after="0"/>
        <w:ind w:left="0" w:firstLine="0"/>
        <w:jc w:val="both"/>
        <w:rPr>
          <w:rFonts w:cs="Arial"/>
          <w:sz w:val="22"/>
          <w:szCs w:val="22"/>
        </w:rPr>
      </w:pPr>
      <w:r w:rsidRPr="00C002BE">
        <w:rPr>
          <w:rFonts w:cs="Arial"/>
          <w:sz w:val="22"/>
          <w:szCs w:val="22"/>
        </w:rPr>
        <w:t xml:space="preserve">The objective of providing greater certainty for private schools and families </w:t>
      </w:r>
      <w:r w:rsidR="000F03FD">
        <w:rPr>
          <w:rFonts w:cs="Arial"/>
          <w:sz w:val="22"/>
          <w:szCs w:val="22"/>
        </w:rPr>
        <w:t>could be achieved by</w:t>
      </w:r>
      <w:r w:rsidRPr="00C002BE">
        <w:rPr>
          <w:rFonts w:cs="Arial"/>
          <w:sz w:val="22"/>
          <w:szCs w:val="22"/>
        </w:rPr>
        <w:t xml:space="preserve"> direct</w:t>
      </w:r>
      <w:r w:rsidR="000F03FD">
        <w:rPr>
          <w:rFonts w:cs="Arial"/>
          <w:sz w:val="22"/>
          <w:szCs w:val="22"/>
        </w:rPr>
        <w:t>ly</w:t>
      </w:r>
      <w:r w:rsidRPr="00C002BE">
        <w:rPr>
          <w:rFonts w:cs="Arial"/>
          <w:sz w:val="22"/>
          <w:szCs w:val="22"/>
        </w:rPr>
        <w:t xml:space="preserve"> </w:t>
      </w:r>
      <w:r w:rsidR="000F03FD">
        <w:rPr>
          <w:rFonts w:cs="Arial"/>
          <w:sz w:val="22"/>
          <w:szCs w:val="22"/>
        </w:rPr>
        <w:t>linking</w:t>
      </w:r>
      <w:r w:rsidRPr="00C002BE">
        <w:rPr>
          <w:rFonts w:cs="Arial"/>
          <w:sz w:val="22"/>
          <w:szCs w:val="22"/>
        </w:rPr>
        <w:t xml:space="preserve"> the funding model for private schools </w:t>
      </w:r>
      <w:r w:rsidR="000F03FD">
        <w:rPr>
          <w:rFonts w:cs="Arial"/>
          <w:sz w:val="22"/>
          <w:szCs w:val="22"/>
        </w:rPr>
        <w:t>with</w:t>
      </w:r>
      <w:r w:rsidRPr="00C002BE">
        <w:rPr>
          <w:rFonts w:cs="Arial"/>
          <w:sz w:val="22"/>
          <w:szCs w:val="22"/>
        </w:rPr>
        <w:t xml:space="preserve"> that for state and state-integrated schools. </w:t>
      </w:r>
      <w:r w:rsidR="000F49F2" w:rsidRPr="00C002BE">
        <w:rPr>
          <w:rFonts w:cs="Arial"/>
          <w:sz w:val="22"/>
          <w:szCs w:val="22"/>
        </w:rPr>
        <w:t xml:space="preserve">Creating a direct link would mean that the value of the per-student subsidy for students attending private schools would be automatically maintained relative to the level of government funding for students in state and state-integrated schools. It would provide a more certain </w:t>
      </w:r>
      <w:r w:rsidR="00B94073">
        <w:rPr>
          <w:rFonts w:cs="Arial"/>
          <w:sz w:val="22"/>
          <w:szCs w:val="22"/>
        </w:rPr>
        <w:t xml:space="preserve">financial </w:t>
      </w:r>
      <w:r w:rsidR="000F49F2" w:rsidRPr="00C002BE">
        <w:rPr>
          <w:rFonts w:cs="Arial"/>
          <w:sz w:val="22"/>
          <w:szCs w:val="22"/>
        </w:rPr>
        <w:t>basis for private schools</w:t>
      </w:r>
      <w:r w:rsidR="00210728" w:rsidRPr="00C002BE">
        <w:rPr>
          <w:rFonts w:cs="Arial"/>
          <w:sz w:val="22"/>
          <w:szCs w:val="22"/>
        </w:rPr>
        <w:t xml:space="preserve">, and is therefore more likely to support the maintenance of a viable private school sector. </w:t>
      </w:r>
    </w:p>
    <w:p w:rsidR="00210728" w:rsidRPr="00C002BE" w:rsidRDefault="00210728" w:rsidP="005417CA">
      <w:pPr>
        <w:pStyle w:val="MoENumberedList"/>
        <w:spacing w:after="0"/>
        <w:ind w:left="0" w:firstLine="0"/>
        <w:jc w:val="both"/>
        <w:rPr>
          <w:rFonts w:cs="Arial"/>
          <w:sz w:val="22"/>
          <w:szCs w:val="22"/>
        </w:rPr>
      </w:pPr>
    </w:p>
    <w:p w:rsidR="00210728" w:rsidRPr="00C002BE" w:rsidRDefault="00210728" w:rsidP="005417CA">
      <w:pPr>
        <w:pStyle w:val="MoENumberedList"/>
        <w:spacing w:after="0"/>
        <w:ind w:left="0" w:firstLine="0"/>
        <w:jc w:val="both"/>
        <w:rPr>
          <w:rFonts w:cs="Arial"/>
          <w:sz w:val="22"/>
          <w:szCs w:val="22"/>
        </w:rPr>
      </w:pPr>
      <w:r w:rsidRPr="00C002BE">
        <w:rPr>
          <w:rFonts w:cs="Arial"/>
          <w:sz w:val="22"/>
          <w:szCs w:val="22"/>
        </w:rPr>
        <w:t>Establishing a direct link would</w:t>
      </w:r>
      <w:r w:rsidR="00C01C96" w:rsidRPr="00C002BE">
        <w:rPr>
          <w:rFonts w:cs="Arial"/>
          <w:sz w:val="22"/>
          <w:szCs w:val="22"/>
        </w:rPr>
        <w:t>, however,</w:t>
      </w:r>
      <w:r w:rsidRPr="00C002BE">
        <w:rPr>
          <w:rFonts w:cs="Arial"/>
          <w:sz w:val="22"/>
          <w:szCs w:val="22"/>
        </w:rPr>
        <w:t xml:space="preserve"> reduce flexibility for the Crown to manage expenditure priorities.</w:t>
      </w:r>
    </w:p>
    <w:p w:rsidR="00210728" w:rsidRPr="00C002BE" w:rsidRDefault="00210728" w:rsidP="005417CA">
      <w:pPr>
        <w:pStyle w:val="MoENumberedList"/>
        <w:spacing w:after="0"/>
        <w:ind w:left="0" w:firstLine="0"/>
        <w:jc w:val="both"/>
        <w:rPr>
          <w:rFonts w:cs="Arial"/>
          <w:sz w:val="22"/>
          <w:szCs w:val="22"/>
        </w:rPr>
      </w:pPr>
    </w:p>
    <w:p w:rsidR="00210728" w:rsidRDefault="006E789B" w:rsidP="005417CA">
      <w:pPr>
        <w:pStyle w:val="MoENumberedList"/>
        <w:spacing w:after="0"/>
        <w:ind w:left="0" w:firstLine="0"/>
        <w:jc w:val="both"/>
        <w:rPr>
          <w:rFonts w:cs="Arial"/>
          <w:sz w:val="22"/>
          <w:szCs w:val="22"/>
        </w:rPr>
      </w:pPr>
      <w:r>
        <w:rPr>
          <w:rFonts w:cs="Arial"/>
          <w:sz w:val="22"/>
          <w:szCs w:val="22"/>
        </w:rPr>
        <w:t>A coherent framework between</w:t>
      </w:r>
      <w:r w:rsidR="00210728" w:rsidRPr="00C002BE">
        <w:rPr>
          <w:rFonts w:cs="Arial"/>
          <w:sz w:val="22"/>
          <w:szCs w:val="22"/>
        </w:rPr>
        <w:t xml:space="preserve"> funding arrangements for private schools and state and state</w:t>
      </w:r>
      <w:r w:rsidR="00C01C96" w:rsidRPr="00C002BE">
        <w:rPr>
          <w:rFonts w:cs="Arial"/>
          <w:sz w:val="22"/>
          <w:szCs w:val="22"/>
        </w:rPr>
        <w:t>-</w:t>
      </w:r>
      <w:r w:rsidR="00210728" w:rsidRPr="00C002BE">
        <w:rPr>
          <w:rFonts w:cs="Arial"/>
          <w:sz w:val="22"/>
          <w:szCs w:val="22"/>
        </w:rPr>
        <w:t xml:space="preserve">integrated schools could be achieved by directly linking the per-student subsidy to one or more of the components of the </w:t>
      </w:r>
      <w:r w:rsidR="00C01C96" w:rsidRPr="00C002BE">
        <w:rPr>
          <w:rFonts w:cs="Arial"/>
          <w:sz w:val="22"/>
          <w:szCs w:val="22"/>
        </w:rPr>
        <w:t xml:space="preserve">proposed </w:t>
      </w:r>
      <w:r w:rsidR="00210728" w:rsidRPr="00C002BE">
        <w:rPr>
          <w:rFonts w:cs="Arial"/>
          <w:sz w:val="22"/>
          <w:szCs w:val="22"/>
        </w:rPr>
        <w:t>funding model for state and state-integrated schools</w:t>
      </w:r>
      <w:r w:rsidR="00C01C96" w:rsidRPr="00C002BE">
        <w:rPr>
          <w:rFonts w:cs="Arial"/>
          <w:sz w:val="22"/>
          <w:szCs w:val="22"/>
        </w:rPr>
        <w:t>. The next section considers the case for establishing a link to the respective components of the proposed funding model for state and state-integrated schools.</w:t>
      </w:r>
    </w:p>
    <w:p w:rsidR="005417CA" w:rsidRPr="00C002BE" w:rsidRDefault="005417CA" w:rsidP="005417CA">
      <w:pPr>
        <w:pStyle w:val="MoENumberedList"/>
        <w:spacing w:after="0"/>
        <w:ind w:left="0" w:firstLine="0"/>
        <w:jc w:val="both"/>
        <w:rPr>
          <w:rFonts w:cs="Arial"/>
          <w:sz w:val="22"/>
          <w:szCs w:val="22"/>
        </w:rPr>
      </w:pPr>
    </w:p>
    <w:p w:rsidR="00D85C7D" w:rsidRDefault="006E789B" w:rsidP="005417CA">
      <w:pPr>
        <w:pStyle w:val="BlueSubheading3"/>
        <w:spacing w:before="0" w:after="0"/>
        <w:jc w:val="both"/>
        <w:rPr>
          <w:rFonts w:cs="Arial"/>
          <w:i/>
          <w:sz w:val="22"/>
        </w:rPr>
      </w:pPr>
      <w:r>
        <w:rPr>
          <w:rFonts w:cs="Arial"/>
          <w:i/>
          <w:sz w:val="22"/>
        </w:rPr>
        <w:t>S</w:t>
      </w:r>
      <w:r w:rsidR="00D85C7D" w:rsidRPr="00C002BE">
        <w:rPr>
          <w:rFonts w:cs="Arial"/>
          <w:i/>
          <w:sz w:val="22"/>
        </w:rPr>
        <w:t xml:space="preserve">upplementary </w:t>
      </w:r>
      <w:r>
        <w:rPr>
          <w:rFonts w:cs="Arial"/>
          <w:i/>
          <w:sz w:val="22"/>
        </w:rPr>
        <w:t>funding</w:t>
      </w:r>
    </w:p>
    <w:p w:rsidR="005417CA" w:rsidRPr="00C002BE" w:rsidRDefault="005417CA" w:rsidP="005417CA">
      <w:pPr>
        <w:pStyle w:val="BlueSubheading3"/>
        <w:spacing w:before="0" w:after="0"/>
        <w:jc w:val="both"/>
        <w:rPr>
          <w:rFonts w:cs="Arial"/>
          <w:i/>
          <w:sz w:val="22"/>
        </w:rPr>
      </w:pPr>
    </w:p>
    <w:p w:rsidR="00676B77" w:rsidRDefault="00210728" w:rsidP="005417CA">
      <w:pPr>
        <w:pStyle w:val="MoENumberedList"/>
        <w:spacing w:after="0"/>
        <w:ind w:left="0" w:firstLine="0"/>
        <w:jc w:val="both"/>
        <w:rPr>
          <w:rFonts w:cs="Arial"/>
          <w:sz w:val="22"/>
          <w:szCs w:val="22"/>
        </w:rPr>
      </w:pPr>
      <w:r w:rsidRPr="00C002BE">
        <w:rPr>
          <w:rFonts w:cs="Arial"/>
          <w:sz w:val="22"/>
          <w:szCs w:val="22"/>
        </w:rPr>
        <w:t>W</w:t>
      </w:r>
      <w:r w:rsidR="006C4BB8" w:rsidRPr="00C002BE">
        <w:rPr>
          <w:rFonts w:cs="Arial"/>
          <w:sz w:val="22"/>
          <w:szCs w:val="22"/>
        </w:rPr>
        <w:t xml:space="preserve">e consider that </w:t>
      </w:r>
      <w:r w:rsidR="00C01C96" w:rsidRPr="00C002BE">
        <w:rPr>
          <w:rFonts w:cs="Arial"/>
          <w:sz w:val="22"/>
          <w:szCs w:val="22"/>
        </w:rPr>
        <w:t xml:space="preserve">the per-student subsidy for private schools should not take into account </w:t>
      </w:r>
      <w:r w:rsidR="009D34FB">
        <w:rPr>
          <w:rFonts w:cs="Arial"/>
          <w:sz w:val="22"/>
          <w:szCs w:val="22"/>
        </w:rPr>
        <w:t xml:space="preserve">the </w:t>
      </w:r>
      <w:r w:rsidR="006E789B">
        <w:rPr>
          <w:rFonts w:cs="Arial"/>
          <w:sz w:val="22"/>
          <w:szCs w:val="22"/>
        </w:rPr>
        <w:t xml:space="preserve">supplementary </w:t>
      </w:r>
      <w:r w:rsidR="00C01C96" w:rsidRPr="00C002BE">
        <w:rPr>
          <w:rFonts w:cs="Arial"/>
          <w:sz w:val="22"/>
          <w:szCs w:val="22"/>
        </w:rPr>
        <w:t xml:space="preserve">funding </w:t>
      </w:r>
      <w:r w:rsidR="009D34FB">
        <w:rPr>
          <w:rFonts w:cs="Arial"/>
          <w:sz w:val="22"/>
          <w:szCs w:val="22"/>
        </w:rPr>
        <w:t>provided to maintain the viability of particular small and/or isolated state schools.</w:t>
      </w:r>
      <w:r w:rsidR="00C01C96" w:rsidRPr="00C002BE">
        <w:rPr>
          <w:rFonts w:cs="Arial"/>
          <w:sz w:val="22"/>
          <w:szCs w:val="22"/>
        </w:rPr>
        <w:t xml:space="preserve"> The Crown incurs these co</w:t>
      </w:r>
      <w:r w:rsidR="00970D9B" w:rsidRPr="00C002BE">
        <w:rPr>
          <w:rFonts w:cs="Arial"/>
          <w:sz w:val="22"/>
          <w:szCs w:val="22"/>
        </w:rPr>
        <w:t>s</w:t>
      </w:r>
      <w:r w:rsidR="00C01C96" w:rsidRPr="00C002BE">
        <w:rPr>
          <w:rFonts w:cs="Arial"/>
          <w:sz w:val="22"/>
          <w:szCs w:val="22"/>
        </w:rPr>
        <w:t xml:space="preserve">ts because of its obligation to provide an appropriate network of state schools. </w:t>
      </w:r>
      <w:r w:rsidR="00970D9B" w:rsidRPr="00C002BE">
        <w:rPr>
          <w:rFonts w:cs="Arial"/>
          <w:sz w:val="22"/>
          <w:szCs w:val="22"/>
        </w:rPr>
        <w:t xml:space="preserve">Excluding these costs would better ensure that the subsidy for students attending private schools is </w:t>
      </w:r>
      <w:r w:rsidR="006C4BB8" w:rsidRPr="00C002BE">
        <w:rPr>
          <w:rFonts w:cs="Arial"/>
          <w:sz w:val="22"/>
          <w:szCs w:val="22"/>
        </w:rPr>
        <w:t>more directly related to the cost the Crown would incur if the student w</w:t>
      </w:r>
      <w:r w:rsidR="00B94073">
        <w:rPr>
          <w:rFonts w:cs="Arial"/>
          <w:sz w:val="22"/>
          <w:szCs w:val="22"/>
        </w:rPr>
        <w:t>as</w:t>
      </w:r>
      <w:r w:rsidR="006C4BB8" w:rsidRPr="00C002BE">
        <w:rPr>
          <w:rFonts w:cs="Arial"/>
          <w:sz w:val="22"/>
          <w:szCs w:val="22"/>
        </w:rPr>
        <w:t xml:space="preserve"> educated in a state school.</w:t>
      </w:r>
    </w:p>
    <w:p w:rsidR="005417CA" w:rsidRPr="001C4E90" w:rsidRDefault="005417CA" w:rsidP="005417CA">
      <w:pPr>
        <w:pStyle w:val="MoENumberedList"/>
        <w:spacing w:after="0"/>
        <w:ind w:left="0" w:firstLine="0"/>
        <w:jc w:val="both"/>
        <w:rPr>
          <w:rFonts w:cs="Arial"/>
          <w:sz w:val="24"/>
        </w:rPr>
      </w:pPr>
    </w:p>
    <w:p w:rsidR="00CE3C0A" w:rsidRDefault="00CE3C0A"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Pr>
          <w:rFonts w:ascii="Arial" w:hAnsi="Arial" w:cs="Arial"/>
          <w:i/>
          <w:sz w:val="22"/>
        </w:rPr>
        <w:t>Question for discussion</w:t>
      </w:r>
    </w:p>
    <w:p w:rsidR="00CE3C0A" w:rsidRDefault="00CE3C0A"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676B77" w:rsidRDefault="00A5052F"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sidRPr="001C4E90">
        <w:rPr>
          <w:rFonts w:ascii="Arial" w:hAnsi="Arial" w:cs="Arial"/>
          <w:i/>
          <w:sz w:val="22"/>
        </w:rPr>
        <w:t>Is it appropriate that</w:t>
      </w:r>
      <w:r w:rsidR="00676B77" w:rsidRPr="001C4E90">
        <w:rPr>
          <w:rFonts w:ascii="Arial" w:hAnsi="Arial" w:cs="Arial"/>
          <w:i/>
          <w:sz w:val="22"/>
        </w:rPr>
        <w:t xml:space="preserve"> </w:t>
      </w:r>
      <w:r w:rsidRPr="001C4E90">
        <w:rPr>
          <w:rFonts w:ascii="Arial" w:hAnsi="Arial" w:cs="Arial"/>
          <w:i/>
          <w:sz w:val="22"/>
        </w:rPr>
        <w:t xml:space="preserve">the </w:t>
      </w:r>
      <w:r w:rsidR="000E0294" w:rsidRPr="001C4E90">
        <w:rPr>
          <w:rFonts w:ascii="Arial" w:hAnsi="Arial" w:cs="Arial"/>
          <w:i/>
          <w:sz w:val="22"/>
        </w:rPr>
        <w:t xml:space="preserve">per-student </w:t>
      </w:r>
      <w:r w:rsidRPr="001C4E90">
        <w:rPr>
          <w:rFonts w:ascii="Arial" w:hAnsi="Arial" w:cs="Arial"/>
          <w:i/>
          <w:sz w:val="22"/>
        </w:rPr>
        <w:t>subsidy for</w:t>
      </w:r>
      <w:r w:rsidR="00676B77" w:rsidRPr="001C4E90">
        <w:rPr>
          <w:rFonts w:ascii="Arial" w:hAnsi="Arial" w:cs="Arial"/>
          <w:i/>
          <w:sz w:val="22"/>
        </w:rPr>
        <w:t xml:space="preserve"> private school</w:t>
      </w:r>
      <w:r w:rsidRPr="001C4E90">
        <w:rPr>
          <w:rFonts w:ascii="Arial" w:hAnsi="Arial" w:cs="Arial"/>
          <w:i/>
          <w:sz w:val="22"/>
        </w:rPr>
        <w:t>s</w:t>
      </w:r>
      <w:r w:rsidR="00676B77" w:rsidRPr="001C4E90">
        <w:rPr>
          <w:rFonts w:ascii="Arial" w:hAnsi="Arial" w:cs="Arial"/>
          <w:i/>
          <w:sz w:val="22"/>
        </w:rPr>
        <w:t xml:space="preserve"> </w:t>
      </w:r>
      <w:r w:rsidRPr="001C4E90">
        <w:rPr>
          <w:rFonts w:ascii="Arial" w:hAnsi="Arial" w:cs="Arial"/>
          <w:i/>
          <w:sz w:val="22"/>
        </w:rPr>
        <w:t>not</w:t>
      </w:r>
      <w:r w:rsidR="00676B77" w:rsidRPr="001C4E90">
        <w:rPr>
          <w:rFonts w:ascii="Arial" w:hAnsi="Arial" w:cs="Arial"/>
          <w:i/>
          <w:sz w:val="22"/>
        </w:rPr>
        <w:t xml:space="preserve"> take the supplementary payment into account?</w:t>
      </w:r>
    </w:p>
    <w:p w:rsidR="000C144E" w:rsidRPr="001C4E90" w:rsidRDefault="000C144E"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0F03FD" w:rsidRDefault="000F03FD" w:rsidP="005417CA">
      <w:pPr>
        <w:pStyle w:val="BlueSubheading3"/>
        <w:spacing w:before="0" w:after="0"/>
        <w:jc w:val="both"/>
        <w:rPr>
          <w:rFonts w:cs="Arial"/>
          <w:i/>
          <w:sz w:val="22"/>
        </w:rPr>
      </w:pPr>
    </w:p>
    <w:p w:rsidR="00D85C7D" w:rsidRDefault="006E789B" w:rsidP="005417CA">
      <w:pPr>
        <w:pStyle w:val="BlueSubheading3"/>
        <w:spacing w:before="0" w:after="0"/>
        <w:jc w:val="both"/>
        <w:rPr>
          <w:rFonts w:cs="Arial"/>
          <w:i/>
          <w:sz w:val="22"/>
        </w:rPr>
      </w:pPr>
      <w:r>
        <w:rPr>
          <w:rFonts w:cs="Arial"/>
          <w:i/>
          <w:sz w:val="22"/>
        </w:rPr>
        <w:t>F</w:t>
      </w:r>
      <w:r w:rsidR="00177BD4">
        <w:rPr>
          <w:rFonts w:cs="Arial"/>
          <w:i/>
          <w:sz w:val="22"/>
        </w:rPr>
        <w:t>unding</w:t>
      </w:r>
      <w:r w:rsidR="00D85C7D" w:rsidRPr="00C002BE">
        <w:rPr>
          <w:rFonts w:cs="Arial"/>
          <w:i/>
          <w:sz w:val="22"/>
        </w:rPr>
        <w:t xml:space="preserve"> relating to students who meet risk criteria</w:t>
      </w:r>
    </w:p>
    <w:p w:rsidR="005417CA" w:rsidRPr="00C002BE" w:rsidRDefault="005417CA" w:rsidP="005417CA">
      <w:pPr>
        <w:pStyle w:val="BlueSubheading3"/>
        <w:spacing w:before="0" w:after="0"/>
        <w:jc w:val="both"/>
        <w:rPr>
          <w:rFonts w:cs="Arial"/>
          <w:i/>
          <w:sz w:val="22"/>
        </w:rPr>
      </w:pPr>
    </w:p>
    <w:p w:rsidR="00970D9B" w:rsidRPr="00C002BE" w:rsidRDefault="006C4BB8" w:rsidP="005417CA">
      <w:pPr>
        <w:pStyle w:val="MoENumberedList"/>
        <w:spacing w:after="0"/>
        <w:ind w:left="0" w:firstLine="0"/>
        <w:jc w:val="both"/>
        <w:rPr>
          <w:rFonts w:cs="Arial"/>
          <w:sz w:val="22"/>
          <w:szCs w:val="22"/>
        </w:rPr>
      </w:pPr>
      <w:r w:rsidRPr="00C002BE">
        <w:rPr>
          <w:rFonts w:cs="Arial"/>
          <w:sz w:val="22"/>
          <w:szCs w:val="22"/>
        </w:rPr>
        <w:t xml:space="preserve">We have also considered whether it would be desirable to adopt an approach similar to that recommended by the Australian </w:t>
      </w:r>
      <w:proofErr w:type="spellStart"/>
      <w:r w:rsidRPr="00C002BE">
        <w:rPr>
          <w:rFonts w:cs="Arial"/>
          <w:sz w:val="22"/>
          <w:szCs w:val="22"/>
        </w:rPr>
        <w:t>Gonski</w:t>
      </w:r>
      <w:proofErr w:type="spellEnd"/>
      <w:r w:rsidRPr="00C002BE">
        <w:rPr>
          <w:rFonts w:cs="Arial"/>
          <w:sz w:val="22"/>
          <w:szCs w:val="22"/>
        </w:rPr>
        <w:t xml:space="preserve"> Review – </w:t>
      </w:r>
      <w:r w:rsidR="00970D9B" w:rsidRPr="00C002BE">
        <w:rPr>
          <w:rFonts w:cs="Arial"/>
          <w:sz w:val="22"/>
          <w:szCs w:val="22"/>
        </w:rPr>
        <w:t>which proposed full government funding of the loading for students from disadvantaged communities.</w:t>
      </w:r>
    </w:p>
    <w:p w:rsidR="00970D9B" w:rsidRPr="00C002BE" w:rsidRDefault="00970D9B" w:rsidP="005417CA">
      <w:pPr>
        <w:pStyle w:val="MoENumberedList"/>
        <w:spacing w:after="0"/>
        <w:ind w:left="0" w:firstLine="0"/>
        <w:jc w:val="both"/>
        <w:rPr>
          <w:rFonts w:cs="Arial"/>
          <w:sz w:val="22"/>
          <w:szCs w:val="22"/>
        </w:rPr>
      </w:pPr>
    </w:p>
    <w:p w:rsidR="00B70AF4" w:rsidRDefault="00526694" w:rsidP="005417CA">
      <w:pPr>
        <w:pStyle w:val="MoENumberedList"/>
        <w:spacing w:after="0"/>
        <w:ind w:left="0" w:firstLine="0"/>
        <w:jc w:val="both"/>
        <w:rPr>
          <w:rFonts w:cs="Arial"/>
          <w:sz w:val="22"/>
          <w:szCs w:val="22"/>
        </w:rPr>
      </w:pPr>
      <w:r w:rsidRPr="00C002BE">
        <w:rPr>
          <w:rFonts w:cs="Arial"/>
          <w:sz w:val="22"/>
          <w:szCs w:val="22"/>
        </w:rPr>
        <w:t xml:space="preserve">On balance we </w:t>
      </w:r>
      <w:r w:rsidR="00B70AF4" w:rsidRPr="00C002BE">
        <w:rPr>
          <w:rFonts w:cs="Arial"/>
          <w:sz w:val="22"/>
          <w:szCs w:val="22"/>
        </w:rPr>
        <w:t xml:space="preserve">consider that </w:t>
      </w:r>
      <w:r w:rsidRPr="00C002BE">
        <w:rPr>
          <w:rFonts w:cs="Arial"/>
          <w:sz w:val="22"/>
          <w:szCs w:val="22"/>
        </w:rPr>
        <w:t xml:space="preserve">students attending private schools </w:t>
      </w:r>
      <w:r w:rsidR="00B70AF4" w:rsidRPr="00C002BE">
        <w:rPr>
          <w:rFonts w:cs="Arial"/>
          <w:sz w:val="22"/>
          <w:szCs w:val="22"/>
        </w:rPr>
        <w:t xml:space="preserve">should not generate the additional </w:t>
      </w:r>
      <w:r w:rsidR="00177BD4">
        <w:rPr>
          <w:rFonts w:cs="Arial"/>
          <w:sz w:val="22"/>
          <w:szCs w:val="22"/>
        </w:rPr>
        <w:t xml:space="preserve">funding relating to students who meet </w:t>
      </w:r>
      <w:r w:rsidR="009D34FB">
        <w:rPr>
          <w:rFonts w:cs="Arial"/>
          <w:sz w:val="22"/>
          <w:szCs w:val="22"/>
        </w:rPr>
        <w:t xml:space="preserve">criteria for being at risk of educational under-achievement. </w:t>
      </w:r>
      <w:r w:rsidRPr="00C002BE">
        <w:rPr>
          <w:rFonts w:cs="Arial"/>
          <w:sz w:val="22"/>
          <w:szCs w:val="22"/>
        </w:rPr>
        <w:t xml:space="preserve">In part this reflects </w:t>
      </w:r>
      <w:r w:rsidR="00B70AF4" w:rsidRPr="00C002BE">
        <w:rPr>
          <w:rFonts w:cs="Arial"/>
          <w:sz w:val="22"/>
          <w:szCs w:val="22"/>
        </w:rPr>
        <w:t>that</w:t>
      </w:r>
      <w:r w:rsidR="006A7B35" w:rsidRPr="00C002BE">
        <w:rPr>
          <w:rFonts w:cs="Arial"/>
          <w:sz w:val="22"/>
          <w:szCs w:val="22"/>
        </w:rPr>
        <w:t>,</w:t>
      </w:r>
      <w:r w:rsidR="00B70AF4" w:rsidRPr="00C002BE">
        <w:rPr>
          <w:rFonts w:cs="Arial"/>
          <w:sz w:val="22"/>
          <w:szCs w:val="22"/>
        </w:rPr>
        <w:t xml:space="preserve"> compared to non-government schools in Australia, private schools in New Zealand largely serve highe</w:t>
      </w:r>
      <w:r w:rsidR="00D85C7D" w:rsidRPr="00C002BE">
        <w:rPr>
          <w:rFonts w:cs="Arial"/>
          <w:sz w:val="22"/>
          <w:szCs w:val="22"/>
        </w:rPr>
        <w:t>r</w:t>
      </w:r>
      <w:r w:rsidR="00631A5C">
        <w:rPr>
          <w:rFonts w:cs="Arial"/>
          <w:sz w:val="22"/>
          <w:szCs w:val="22"/>
        </w:rPr>
        <w:t xml:space="preserve"> socio</w:t>
      </w:r>
      <w:r w:rsidR="00B70AF4" w:rsidRPr="00C002BE">
        <w:rPr>
          <w:rFonts w:cs="Arial"/>
          <w:sz w:val="22"/>
          <w:szCs w:val="22"/>
        </w:rPr>
        <w:t xml:space="preserve">economic communities. For example, </w:t>
      </w:r>
      <w:r w:rsidR="00D85C7D" w:rsidRPr="00C002BE">
        <w:rPr>
          <w:rFonts w:cs="Arial"/>
          <w:sz w:val="22"/>
          <w:szCs w:val="22"/>
        </w:rPr>
        <w:t>of the 54 schools for which deciles were recalculated in 2014, 49</w:t>
      </w:r>
      <w:r w:rsidR="00B70AF4" w:rsidRPr="00C002BE">
        <w:rPr>
          <w:rFonts w:cs="Arial"/>
          <w:sz w:val="22"/>
          <w:szCs w:val="22"/>
        </w:rPr>
        <w:t xml:space="preserve"> schools were decile 7 or above, and of these 30 were decile 10. The remaining five schools were decile 3 to 5 inclusive.</w:t>
      </w:r>
      <w:r w:rsidR="0066528D" w:rsidRPr="00C002BE">
        <w:rPr>
          <w:rFonts w:cs="Arial"/>
          <w:sz w:val="22"/>
          <w:szCs w:val="22"/>
        </w:rPr>
        <w:t xml:space="preserve"> </w:t>
      </w:r>
      <w:r w:rsidR="00D85C7D" w:rsidRPr="00C002BE">
        <w:rPr>
          <w:rFonts w:cs="Arial"/>
          <w:sz w:val="22"/>
          <w:szCs w:val="22"/>
        </w:rPr>
        <w:t xml:space="preserve">Similarly, recent </w:t>
      </w:r>
      <w:r w:rsidR="0066528D" w:rsidRPr="00C002BE">
        <w:rPr>
          <w:rFonts w:cs="Arial"/>
          <w:sz w:val="22"/>
          <w:szCs w:val="22"/>
        </w:rPr>
        <w:t xml:space="preserve">analysis showed that </w:t>
      </w:r>
      <w:r w:rsidR="00970D9B" w:rsidRPr="00C002BE">
        <w:rPr>
          <w:rFonts w:cs="Arial"/>
          <w:sz w:val="22"/>
          <w:szCs w:val="22"/>
        </w:rPr>
        <w:t>less than 3%</w:t>
      </w:r>
      <w:r w:rsidR="0066528D" w:rsidRPr="00C002BE">
        <w:rPr>
          <w:rFonts w:cs="Arial"/>
          <w:sz w:val="22"/>
          <w:szCs w:val="22"/>
        </w:rPr>
        <w:t xml:space="preserve"> of private school students had been in benefit dependent households for substantial periods.</w:t>
      </w:r>
      <w:r w:rsidR="0066528D" w:rsidRPr="00C002BE">
        <w:rPr>
          <w:rStyle w:val="FootnoteReference"/>
          <w:rFonts w:cs="Arial"/>
          <w:sz w:val="22"/>
          <w:szCs w:val="22"/>
        </w:rPr>
        <w:footnoteReference w:id="4"/>
      </w:r>
    </w:p>
    <w:p w:rsidR="005417CA" w:rsidRPr="00C002BE" w:rsidRDefault="005417CA" w:rsidP="005417CA">
      <w:pPr>
        <w:pStyle w:val="MoENumberedList"/>
        <w:spacing w:after="0"/>
        <w:ind w:left="0" w:firstLine="0"/>
        <w:jc w:val="both"/>
        <w:rPr>
          <w:rFonts w:cs="Arial"/>
          <w:sz w:val="22"/>
          <w:szCs w:val="22"/>
        </w:rPr>
      </w:pPr>
    </w:p>
    <w:p w:rsidR="00D85C7D" w:rsidRPr="00C002BE" w:rsidRDefault="00D85C7D" w:rsidP="005417CA">
      <w:pPr>
        <w:pStyle w:val="ListParagraph"/>
        <w:ind w:left="0"/>
        <w:jc w:val="both"/>
        <w:rPr>
          <w:rFonts w:ascii="Arial" w:hAnsi="Arial" w:cs="Arial"/>
          <w:sz w:val="22"/>
          <w:szCs w:val="22"/>
        </w:rPr>
      </w:pPr>
      <w:r w:rsidRPr="00C002BE">
        <w:rPr>
          <w:rFonts w:ascii="Arial" w:hAnsi="Arial" w:cs="Arial"/>
          <w:sz w:val="22"/>
          <w:szCs w:val="22"/>
        </w:rPr>
        <w:t xml:space="preserve">It also reflects a judgement that there is a </w:t>
      </w:r>
      <w:r w:rsidR="000F03FD">
        <w:rPr>
          <w:rFonts w:ascii="Arial" w:hAnsi="Arial" w:cs="Arial"/>
          <w:sz w:val="22"/>
          <w:szCs w:val="22"/>
        </w:rPr>
        <w:t>reasonable probability that a</w:t>
      </w:r>
      <w:r w:rsidR="001452AA" w:rsidRPr="00C002BE">
        <w:rPr>
          <w:rFonts w:ascii="Arial" w:hAnsi="Arial" w:cs="Arial"/>
          <w:sz w:val="22"/>
          <w:szCs w:val="22"/>
        </w:rPr>
        <w:t xml:space="preserve"> student </w:t>
      </w:r>
      <w:r w:rsidR="009D34FB">
        <w:rPr>
          <w:rFonts w:ascii="Arial" w:hAnsi="Arial" w:cs="Arial"/>
          <w:sz w:val="22"/>
          <w:szCs w:val="22"/>
        </w:rPr>
        <w:t>is not</w:t>
      </w:r>
      <w:r w:rsidR="001452AA" w:rsidRPr="00C002BE">
        <w:rPr>
          <w:rFonts w:ascii="Arial" w:hAnsi="Arial" w:cs="Arial"/>
          <w:sz w:val="22"/>
          <w:szCs w:val="22"/>
        </w:rPr>
        <w:t xml:space="preserve"> at</w:t>
      </w:r>
      <w:r w:rsidR="009D34FB">
        <w:rPr>
          <w:rFonts w:ascii="Arial" w:hAnsi="Arial" w:cs="Arial"/>
          <w:sz w:val="22"/>
          <w:szCs w:val="22"/>
        </w:rPr>
        <w:t>-</w:t>
      </w:r>
      <w:r w:rsidR="001452AA" w:rsidRPr="00C002BE">
        <w:rPr>
          <w:rFonts w:ascii="Arial" w:hAnsi="Arial" w:cs="Arial"/>
          <w:sz w:val="22"/>
          <w:szCs w:val="22"/>
        </w:rPr>
        <w:t>risk notwithstanding that their family circumstances meet the risk criteria. These</w:t>
      </w:r>
      <w:r w:rsidRPr="00C002BE">
        <w:rPr>
          <w:rFonts w:ascii="Arial" w:hAnsi="Arial" w:cs="Arial"/>
          <w:sz w:val="22"/>
          <w:szCs w:val="22"/>
        </w:rPr>
        <w:t xml:space="preserve"> criteria are based on obse</w:t>
      </w:r>
      <w:r w:rsidR="008E45C8">
        <w:rPr>
          <w:rFonts w:ascii="Arial" w:hAnsi="Arial" w:cs="Arial"/>
          <w:sz w:val="22"/>
          <w:szCs w:val="22"/>
        </w:rPr>
        <w:t>rved correlations between socio</w:t>
      </w:r>
      <w:r w:rsidRPr="00C002BE">
        <w:rPr>
          <w:rFonts w:ascii="Arial" w:hAnsi="Arial" w:cs="Arial"/>
          <w:sz w:val="22"/>
          <w:szCs w:val="22"/>
        </w:rPr>
        <w:t>economic or other indicators and educational achievement.</w:t>
      </w:r>
      <w:r w:rsidR="006A7B35" w:rsidRPr="00C002BE">
        <w:rPr>
          <w:rStyle w:val="FootnoteReference"/>
          <w:rFonts w:ascii="Arial" w:hAnsi="Arial" w:cs="Arial"/>
          <w:sz w:val="22"/>
          <w:szCs w:val="22"/>
        </w:rPr>
        <w:footnoteReference w:id="5"/>
      </w:r>
      <w:r w:rsidRPr="00C002BE">
        <w:rPr>
          <w:rFonts w:ascii="Arial" w:hAnsi="Arial" w:cs="Arial"/>
          <w:sz w:val="22"/>
          <w:szCs w:val="22"/>
        </w:rPr>
        <w:t xml:space="preserve"> This can result in false positives – the identification of students as being at</w:t>
      </w:r>
      <w:r w:rsidR="009D34FB">
        <w:rPr>
          <w:rFonts w:ascii="Arial" w:hAnsi="Arial" w:cs="Arial"/>
          <w:sz w:val="22"/>
          <w:szCs w:val="22"/>
        </w:rPr>
        <w:t>-</w:t>
      </w:r>
      <w:r w:rsidRPr="00C002BE">
        <w:rPr>
          <w:rFonts w:ascii="Arial" w:hAnsi="Arial" w:cs="Arial"/>
          <w:sz w:val="22"/>
          <w:szCs w:val="22"/>
        </w:rPr>
        <w:t>risk when they are not.</w:t>
      </w:r>
    </w:p>
    <w:p w:rsidR="00D85C7D" w:rsidRPr="00C002BE" w:rsidRDefault="00D85C7D" w:rsidP="005417CA">
      <w:pPr>
        <w:pStyle w:val="ListParagraph"/>
        <w:ind w:left="0"/>
        <w:jc w:val="both"/>
        <w:rPr>
          <w:rFonts w:ascii="Arial" w:hAnsi="Arial" w:cs="Arial"/>
          <w:sz w:val="22"/>
          <w:szCs w:val="22"/>
        </w:rPr>
      </w:pPr>
    </w:p>
    <w:p w:rsidR="00D85C7D" w:rsidRPr="00C002BE" w:rsidRDefault="00D85C7D" w:rsidP="005417CA">
      <w:pPr>
        <w:pStyle w:val="ListParagraph"/>
        <w:ind w:left="0"/>
        <w:jc w:val="both"/>
        <w:rPr>
          <w:rFonts w:ascii="Arial" w:hAnsi="Arial" w:cs="Arial"/>
          <w:sz w:val="22"/>
          <w:szCs w:val="22"/>
        </w:rPr>
      </w:pPr>
      <w:r w:rsidRPr="00C002BE">
        <w:rPr>
          <w:rFonts w:ascii="Arial" w:hAnsi="Arial" w:cs="Arial"/>
          <w:sz w:val="22"/>
          <w:szCs w:val="22"/>
        </w:rPr>
        <w:t xml:space="preserve">Where private schools retain the capacity to select students, schools have the incentive to undertake more intensive information gathering to more accurately assess the risk of individual students, and hence identify students who are false positives. Were this to occur the </w:t>
      </w:r>
      <w:r w:rsidR="006E789B">
        <w:rPr>
          <w:rFonts w:ascii="Arial" w:hAnsi="Arial" w:cs="Arial"/>
          <w:sz w:val="22"/>
          <w:szCs w:val="22"/>
        </w:rPr>
        <w:t>G</w:t>
      </w:r>
      <w:r w:rsidRPr="00C002BE">
        <w:rPr>
          <w:rFonts w:ascii="Arial" w:hAnsi="Arial" w:cs="Arial"/>
          <w:sz w:val="22"/>
          <w:szCs w:val="22"/>
        </w:rPr>
        <w:t xml:space="preserve">overnment would be providing the additional </w:t>
      </w:r>
      <w:r w:rsidR="00177BD4">
        <w:rPr>
          <w:rFonts w:ascii="Arial" w:hAnsi="Arial" w:cs="Arial"/>
          <w:sz w:val="22"/>
          <w:szCs w:val="22"/>
        </w:rPr>
        <w:t>funding</w:t>
      </w:r>
      <w:r w:rsidRPr="00C002BE">
        <w:rPr>
          <w:rFonts w:ascii="Arial" w:hAnsi="Arial" w:cs="Arial"/>
          <w:sz w:val="22"/>
          <w:szCs w:val="22"/>
        </w:rPr>
        <w:t xml:space="preserve"> </w:t>
      </w:r>
      <w:r w:rsidR="00E55060" w:rsidRPr="00C002BE">
        <w:rPr>
          <w:rFonts w:ascii="Arial" w:hAnsi="Arial" w:cs="Arial"/>
          <w:sz w:val="22"/>
          <w:szCs w:val="22"/>
        </w:rPr>
        <w:t xml:space="preserve">in relation to </w:t>
      </w:r>
      <w:r w:rsidRPr="00C002BE">
        <w:rPr>
          <w:rFonts w:ascii="Arial" w:hAnsi="Arial" w:cs="Arial"/>
          <w:sz w:val="22"/>
          <w:szCs w:val="22"/>
        </w:rPr>
        <w:t>students who are not actually at risk.</w:t>
      </w:r>
    </w:p>
    <w:p w:rsidR="00D85C7D" w:rsidRPr="00C002BE" w:rsidRDefault="00D85C7D" w:rsidP="005417CA">
      <w:pPr>
        <w:pStyle w:val="ListParagraph"/>
        <w:ind w:left="0"/>
        <w:jc w:val="both"/>
        <w:rPr>
          <w:rFonts w:ascii="Arial" w:hAnsi="Arial" w:cs="Arial"/>
          <w:sz w:val="22"/>
          <w:szCs w:val="22"/>
        </w:rPr>
      </w:pPr>
    </w:p>
    <w:p w:rsidR="00CF13D0" w:rsidRDefault="00D85C7D" w:rsidP="005417CA">
      <w:pPr>
        <w:pStyle w:val="ListParagraph"/>
        <w:ind w:left="0"/>
        <w:jc w:val="both"/>
        <w:rPr>
          <w:rFonts w:ascii="Arial" w:hAnsi="Arial" w:cs="Arial"/>
          <w:sz w:val="22"/>
          <w:szCs w:val="22"/>
        </w:rPr>
      </w:pPr>
      <w:r w:rsidRPr="00C002BE">
        <w:rPr>
          <w:rFonts w:ascii="Arial" w:hAnsi="Arial" w:cs="Arial"/>
          <w:sz w:val="22"/>
          <w:szCs w:val="22"/>
        </w:rPr>
        <w:t xml:space="preserve">Further, </w:t>
      </w:r>
      <w:r w:rsidR="008E45C8">
        <w:rPr>
          <w:rFonts w:ascii="Arial" w:hAnsi="Arial" w:cs="Arial"/>
          <w:sz w:val="22"/>
          <w:szCs w:val="22"/>
        </w:rPr>
        <w:t>if</w:t>
      </w:r>
      <w:r w:rsidRPr="00C002BE">
        <w:rPr>
          <w:rFonts w:ascii="Arial" w:hAnsi="Arial" w:cs="Arial"/>
          <w:sz w:val="22"/>
          <w:szCs w:val="22"/>
        </w:rPr>
        <w:t xml:space="preserve"> the child’s parents are seeking alternative educational opportunities </w:t>
      </w:r>
      <w:r w:rsidR="008E45C8">
        <w:rPr>
          <w:rFonts w:ascii="Arial" w:hAnsi="Arial" w:cs="Arial"/>
          <w:sz w:val="22"/>
          <w:szCs w:val="22"/>
        </w:rPr>
        <w:t xml:space="preserve">and can afford to make a financial contribution to the cost of private schooling, it </w:t>
      </w:r>
      <w:r w:rsidRPr="00C002BE">
        <w:rPr>
          <w:rFonts w:ascii="Arial" w:hAnsi="Arial" w:cs="Arial"/>
          <w:sz w:val="22"/>
          <w:szCs w:val="22"/>
        </w:rPr>
        <w:t xml:space="preserve">would suggest that the child’s actual risk is less than that assessed by the </w:t>
      </w:r>
      <w:r w:rsidR="00E55060" w:rsidRPr="00C002BE">
        <w:rPr>
          <w:rFonts w:ascii="Arial" w:hAnsi="Arial" w:cs="Arial"/>
          <w:sz w:val="22"/>
          <w:szCs w:val="22"/>
        </w:rPr>
        <w:t>observed correlation at a system level</w:t>
      </w:r>
      <w:r w:rsidR="008E45C8">
        <w:rPr>
          <w:rFonts w:ascii="Arial" w:hAnsi="Arial" w:cs="Arial"/>
          <w:sz w:val="22"/>
          <w:szCs w:val="22"/>
        </w:rPr>
        <w:t>.</w:t>
      </w:r>
    </w:p>
    <w:p w:rsidR="006A58BA" w:rsidRDefault="006A58BA" w:rsidP="005417CA">
      <w:pPr>
        <w:pStyle w:val="ListParagraph"/>
        <w:ind w:left="0"/>
        <w:jc w:val="both"/>
        <w:rPr>
          <w:rFonts w:ascii="Arial" w:hAnsi="Arial" w:cs="Arial"/>
          <w:sz w:val="22"/>
          <w:szCs w:val="22"/>
        </w:rPr>
      </w:pPr>
    </w:p>
    <w:p w:rsidR="00CE3C0A" w:rsidRDefault="00CE3C0A"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Pr>
          <w:rFonts w:ascii="Arial" w:hAnsi="Arial" w:cs="Arial"/>
          <w:i/>
          <w:sz w:val="22"/>
        </w:rPr>
        <w:t>Question for discussion</w:t>
      </w:r>
    </w:p>
    <w:p w:rsidR="00CE3C0A" w:rsidRDefault="00CE3C0A"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1C4E90" w:rsidRDefault="00A5052F"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sidRPr="001C4E90">
        <w:rPr>
          <w:rFonts w:ascii="Arial" w:hAnsi="Arial" w:cs="Arial"/>
          <w:i/>
          <w:sz w:val="22"/>
        </w:rPr>
        <w:t>Is it appropriate that</w:t>
      </w:r>
      <w:r w:rsidR="00CF13D0" w:rsidRPr="001C4E90">
        <w:rPr>
          <w:rFonts w:ascii="Arial" w:hAnsi="Arial" w:cs="Arial"/>
          <w:i/>
          <w:sz w:val="22"/>
        </w:rPr>
        <w:t xml:space="preserve"> students in private schools who meet the risk criteria </w:t>
      </w:r>
      <w:r w:rsidRPr="001C4E90">
        <w:rPr>
          <w:rFonts w:ascii="Arial" w:hAnsi="Arial" w:cs="Arial"/>
          <w:i/>
          <w:sz w:val="22"/>
        </w:rPr>
        <w:t xml:space="preserve">do not </w:t>
      </w:r>
      <w:r w:rsidR="00CF13D0" w:rsidRPr="001C4E90">
        <w:rPr>
          <w:rFonts w:ascii="Arial" w:hAnsi="Arial" w:cs="Arial"/>
          <w:i/>
          <w:sz w:val="22"/>
        </w:rPr>
        <w:t xml:space="preserve">generate additional </w:t>
      </w:r>
      <w:r w:rsidR="00631A5C">
        <w:rPr>
          <w:rFonts w:ascii="Arial" w:hAnsi="Arial" w:cs="Arial"/>
          <w:i/>
          <w:sz w:val="22"/>
        </w:rPr>
        <w:t xml:space="preserve">funding </w:t>
      </w:r>
      <w:r w:rsidR="00CF13D0" w:rsidRPr="001C4E90">
        <w:rPr>
          <w:rFonts w:ascii="Arial" w:hAnsi="Arial" w:cs="Arial"/>
          <w:i/>
          <w:sz w:val="22"/>
        </w:rPr>
        <w:t>for those schools?</w:t>
      </w:r>
    </w:p>
    <w:p w:rsidR="009D34FB" w:rsidRPr="006A58BA" w:rsidRDefault="009D34FB"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9D34FB" w:rsidRDefault="009D34FB" w:rsidP="005417CA">
      <w:pPr>
        <w:pStyle w:val="BlueSubheading3"/>
        <w:spacing w:before="0" w:after="0"/>
        <w:jc w:val="both"/>
        <w:rPr>
          <w:rFonts w:cs="Arial"/>
          <w:i/>
          <w:sz w:val="22"/>
        </w:rPr>
      </w:pPr>
    </w:p>
    <w:p w:rsidR="001452AA" w:rsidRDefault="001452AA" w:rsidP="005417CA">
      <w:pPr>
        <w:pStyle w:val="BlueSubheading3"/>
        <w:spacing w:before="0" w:after="0"/>
        <w:jc w:val="both"/>
        <w:rPr>
          <w:rFonts w:cs="Arial"/>
          <w:i/>
          <w:sz w:val="22"/>
        </w:rPr>
      </w:pPr>
      <w:r w:rsidRPr="00C002BE">
        <w:rPr>
          <w:rFonts w:cs="Arial"/>
          <w:i/>
          <w:sz w:val="22"/>
        </w:rPr>
        <w:t>The per</w:t>
      </w:r>
      <w:r w:rsidR="00B13BBD">
        <w:rPr>
          <w:rFonts w:cs="Arial"/>
          <w:i/>
          <w:sz w:val="22"/>
        </w:rPr>
        <w:t>-</w:t>
      </w:r>
      <w:r w:rsidRPr="00C002BE">
        <w:rPr>
          <w:rFonts w:cs="Arial"/>
          <w:i/>
          <w:sz w:val="22"/>
        </w:rPr>
        <w:t>student funding amount</w:t>
      </w:r>
    </w:p>
    <w:p w:rsidR="005417CA" w:rsidRPr="00C002BE" w:rsidRDefault="005417CA" w:rsidP="005417CA">
      <w:pPr>
        <w:pStyle w:val="BlueSubheading3"/>
        <w:spacing w:before="0" w:after="0"/>
        <w:jc w:val="both"/>
        <w:rPr>
          <w:rFonts w:cs="Arial"/>
          <w:i/>
          <w:sz w:val="22"/>
        </w:rPr>
      </w:pPr>
    </w:p>
    <w:p w:rsidR="001452AA" w:rsidRPr="00C002BE" w:rsidRDefault="006E789B" w:rsidP="005417CA">
      <w:pPr>
        <w:pStyle w:val="MoENumberedList"/>
        <w:spacing w:after="0"/>
        <w:ind w:left="0" w:firstLine="0"/>
        <w:jc w:val="both"/>
        <w:rPr>
          <w:rFonts w:cs="Arial"/>
          <w:sz w:val="22"/>
          <w:szCs w:val="22"/>
        </w:rPr>
      </w:pPr>
      <w:r>
        <w:rPr>
          <w:rFonts w:cs="Arial"/>
          <w:sz w:val="22"/>
          <w:szCs w:val="22"/>
        </w:rPr>
        <w:t>T</w:t>
      </w:r>
      <w:r w:rsidR="001452AA" w:rsidRPr="00C002BE">
        <w:rPr>
          <w:rFonts w:cs="Arial"/>
          <w:sz w:val="22"/>
          <w:szCs w:val="22"/>
        </w:rPr>
        <w:t xml:space="preserve">here is potential to </w:t>
      </w:r>
      <w:r w:rsidR="00EE1355" w:rsidRPr="00C002BE">
        <w:rPr>
          <w:rFonts w:cs="Arial"/>
          <w:sz w:val="22"/>
          <w:szCs w:val="22"/>
        </w:rPr>
        <w:t xml:space="preserve">establish a direct link between the </w:t>
      </w:r>
      <w:r w:rsidR="001452AA" w:rsidRPr="00C002BE">
        <w:rPr>
          <w:rFonts w:cs="Arial"/>
          <w:sz w:val="22"/>
          <w:szCs w:val="22"/>
        </w:rPr>
        <w:t>per-student funding amount for state and state-integrated schools</w:t>
      </w:r>
      <w:r w:rsidR="00EE1355" w:rsidRPr="00C002BE">
        <w:rPr>
          <w:rFonts w:cs="Arial"/>
          <w:sz w:val="22"/>
          <w:szCs w:val="22"/>
        </w:rPr>
        <w:t xml:space="preserve"> and the per-student subsidy for private schools</w:t>
      </w:r>
      <w:r w:rsidR="006A7B35" w:rsidRPr="00C002BE">
        <w:rPr>
          <w:rFonts w:cs="Arial"/>
          <w:sz w:val="22"/>
          <w:szCs w:val="22"/>
        </w:rPr>
        <w:t>.</w:t>
      </w:r>
    </w:p>
    <w:p w:rsidR="001452AA" w:rsidRPr="00C002BE" w:rsidRDefault="001452AA" w:rsidP="005417CA">
      <w:pPr>
        <w:pStyle w:val="MoENumberedList"/>
        <w:spacing w:after="0"/>
        <w:ind w:left="0" w:firstLine="0"/>
        <w:jc w:val="both"/>
        <w:rPr>
          <w:rFonts w:cs="Arial"/>
          <w:sz w:val="22"/>
          <w:szCs w:val="22"/>
        </w:rPr>
      </w:pPr>
    </w:p>
    <w:p w:rsidR="006A63FE" w:rsidRPr="00C002BE" w:rsidRDefault="001452AA" w:rsidP="005417CA">
      <w:pPr>
        <w:pStyle w:val="MoENumberedList"/>
        <w:spacing w:after="0"/>
        <w:ind w:left="0" w:firstLine="0"/>
        <w:jc w:val="both"/>
        <w:rPr>
          <w:rFonts w:cs="Arial"/>
          <w:sz w:val="22"/>
          <w:szCs w:val="22"/>
        </w:rPr>
      </w:pPr>
      <w:r w:rsidRPr="00C002BE">
        <w:rPr>
          <w:rFonts w:cs="Arial"/>
          <w:sz w:val="22"/>
          <w:szCs w:val="22"/>
        </w:rPr>
        <w:t xml:space="preserve">The per-student </w:t>
      </w:r>
      <w:r w:rsidR="00EE1355" w:rsidRPr="00C002BE">
        <w:rPr>
          <w:rFonts w:cs="Arial"/>
          <w:sz w:val="22"/>
          <w:szCs w:val="22"/>
        </w:rPr>
        <w:t>subsidy for private schools</w:t>
      </w:r>
      <w:r w:rsidRPr="00C002BE">
        <w:rPr>
          <w:rFonts w:cs="Arial"/>
          <w:sz w:val="22"/>
          <w:szCs w:val="22"/>
        </w:rPr>
        <w:t xml:space="preserve"> could be set at either a fixed percentage </w:t>
      </w:r>
      <w:r w:rsidR="00745D45" w:rsidRPr="00C002BE">
        <w:rPr>
          <w:rFonts w:cs="Arial"/>
          <w:sz w:val="22"/>
          <w:szCs w:val="22"/>
        </w:rPr>
        <w:t>of the per-student funding amount</w:t>
      </w:r>
      <w:r w:rsidR="006A63FE" w:rsidRPr="00C002BE">
        <w:rPr>
          <w:rFonts w:cs="Arial"/>
          <w:sz w:val="22"/>
          <w:szCs w:val="22"/>
        </w:rPr>
        <w:t xml:space="preserve"> </w:t>
      </w:r>
      <w:r w:rsidR="00EE1355" w:rsidRPr="00C002BE">
        <w:rPr>
          <w:rFonts w:cs="Arial"/>
          <w:sz w:val="22"/>
          <w:szCs w:val="22"/>
        </w:rPr>
        <w:t xml:space="preserve">for state and state-integrated schools, or </w:t>
      </w:r>
      <w:r w:rsidR="00E55060" w:rsidRPr="00C002BE">
        <w:rPr>
          <w:rFonts w:cs="Arial"/>
          <w:sz w:val="22"/>
          <w:szCs w:val="22"/>
        </w:rPr>
        <w:t xml:space="preserve">at a varying percentage depending on the </w:t>
      </w:r>
      <w:r w:rsidR="00EE1355" w:rsidRPr="00C002BE">
        <w:rPr>
          <w:rFonts w:cs="Arial"/>
          <w:sz w:val="22"/>
          <w:szCs w:val="22"/>
        </w:rPr>
        <w:t xml:space="preserve">assessed capacity of the </w:t>
      </w:r>
      <w:r w:rsidRPr="00C002BE">
        <w:rPr>
          <w:rFonts w:cs="Arial"/>
          <w:sz w:val="22"/>
          <w:szCs w:val="22"/>
        </w:rPr>
        <w:t>school community</w:t>
      </w:r>
      <w:r w:rsidR="006E789B">
        <w:rPr>
          <w:rFonts w:cs="Arial"/>
          <w:sz w:val="22"/>
          <w:szCs w:val="22"/>
        </w:rPr>
        <w:t xml:space="preserve"> to pay</w:t>
      </w:r>
      <w:r w:rsidRPr="00C002BE">
        <w:rPr>
          <w:rFonts w:cs="Arial"/>
          <w:sz w:val="22"/>
          <w:szCs w:val="22"/>
        </w:rPr>
        <w:t xml:space="preserve">. </w:t>
      </w:r>
      <w:r w:rsidR="009060AF">
        <w:rPr>
          <w:rFonts w:cs="Arial"/>
          <w:sz w:val="22"/>
          <w:szCs w:val="22"/>
        </w:rPr>
        <w:t xml:space="preserve">Within the second option there is a choice between a finely granulated model, </w:t>
      </w:r>
      <w:proofErr w:type="gramStart"/>
      <w:r w:rsidR="009060AF">
        <w:rPr>
          <w:rFonts w:cs="Arial"/>
          <w:sz w:val="22"/>
          <w:szCs w:val="22"/>
        </w:rPr>
        <w:t>or</w:t>
      </w:r>
      <w:proofErr w:type="gramEnd"/>
      <w:r w:rsidR="009060AF">
        <w:rPr>
          <w:rFonts w:cs="Arial"/>
          <w:sz w:val="22"/>
          <w:szCs w:val="22"/>
        </w:rPr>
        <w:t xml:space="preserve"> a more streamlined approach involving a small number of rates. </w:t>
      </w:r>
    </w:p>
    <w:p w:rsidR="00E55060" w:rsidRPr="00C002BE" w:rsidRDefault="00E55060" w:rsidP="005417CA">
      <w:pPr>
        <w:pStyle w:val="MoENumberedList"/>
        <w:spacing w:after="0"/>
        <w:ind w:left="0" w:firstLine="0"/>
        <w:jc w:val="both"/>
        <w:rPr>
          <w:rFonts w:cs="Arial"/>
          <w:sz w:val="22"/>
          <w:szCs w:val="22"/>
        </w:rPr>
      </w:pPr>
    </w:p>
    <w:p w:rsidR="00507D7D" w:rsidRPr="00C002BE" w:rsidRDefault="00624D8A" w:rsidP="005417CA">
      <w:pPr>
        <w:pStyle w:val="MoENumberedList"/>
        <w:spacing w:after="0"/>
        <w:ind w:left="0" w:firstLine="0"/>
        <w:jc w:val="both"/>
        <w:rPr>
          <w:rFonts w:cs="Arial"/>
          <w:sz w:val="22"/>
          <w:szCs w:val="22"/>
        </w:rPr>
      </w:pPr>
      <w:r w:rsidRPr="00C002BE">
        <w:rPr>
          <w:rFonts w:cs="Arial"/>
          <w:sz w:val="22"/>
          <w:szCs w:val="22"/>
        </w:rPr>
        <w:t xml:space="preserve">A </w:t>
      </w:r>
      <w:r w:rsidR="002F2F81" w:rsidRPr="00C002BE">
        <w:rPr>
          <w:rFonts w:cs="Arial"/>
          <w:sz w:val="22"/>
          <w:szCs w:val="22"/>
        </w:rPr>
        <w:t>variable percentage</w:t>
      </w:r>
      <w:r w:rsidRPr="00C002BE">
        <w:rPr>
          <w:rFonts w:cs="Arial"/>
          <w:sz w:val="22"/>
          <w:szCs w:val="22"/>
        </w:rPr>
        <w:t xml:space="preserve"> would allow calibrated levels of support to be provided to individual schools. For any given </w:t>
      </w:r>
      <w:r w:rsidR="002F2F81" w:rsidRPr="00C002BE">
        <w:rPr>
          <w:rFonts w:cs="Arial"/>
          <w:sz w:val="22"/>
          <w:szCs w:val="22"/>
        </w:rPr>
        <w:t xml:space="preserve">amount of </w:t>
      </w:r>
      <w:r w:rsidRPr="00C002BE">
        <w:rPr>
          <w:rFonts w:cs="Arial"/>
          <w:sz w:val="22"/>
          <w:szCs w:val="22"/>
        </w:rPr>
        <w:t xml:space="preserve">government expenditure, </w:t>
      </w:r>
      <w:r w:rsidR="000C4300" w:rsidRPr="00C002BE">
        <w:rPr>
          <w:rFonts w:cs="Arial"/>
          <w:sz w:val="22"/>
          <w:szCs w:val="22"/>
        </w:rPr>
        <w:t xml:space="preserve">this approach is likely to be more effective in maintaining the </w:t>
      </w:r>
      <w:r w:rsidRPr="00C002BE">
        <w:rPr>
          <w:rFonts w:cs="Arial"/>
          <w:sz w:val="22"/>
          <w:szCs w:val="22"/>
        </w:rPr>
        <w:t>financial viability of existing schools and mitigat</w:t>
      </w:r>
      <w:r w:rsidR="000C4300" w:rsidRPr="00C002BE">
        <w:rPr>
          <w:rFonts w:cs="Arial"/>
          <w:sz w:val="22"/>
          <w:szCs w:val="22"/>
        </w:rPr>
        <w:t>ing</w:t>
      </w:r>
      <w:r w:rsidRPr="00C002BE">
        <w:rPr>
          <w:rFonts w:cs="Arial"/>
          <w:sz w:val="22"/>
          <w:szCs w:val="22"/>
        </w:rPr>
        <w:t xml:space="preserve"> </w:t>
      </w:r>
      <w:r w:rsidR="003F566F" w:rsidRPr="00C002BE">
        <w:rPr>
          <w:rFonts w:cs="Arial"/>
          <w:sz w:val="22"/>
          <w:szCs w:val="22"/>
        </w:rPr>
        <w:t xml:space="preserve">the financial </w:t>
      </w:r>
      <w:r w:rsidRPr="00C002BE">
        <w:rPr>
          <w:rFonts w:cs="Arial"/>
          <w:sz w:val="22"/>
          <w:szCs w:val="22"/>
        </w:rPr>
        <w:t xml:space="preserve">pressures for integration. </w:t>
      </w:r>
      <w:r w:rsidR="000C4300" w:rsidRPr="00C002BE">
        <w:rPr>
          <w:rFonts w:cs="Arial"/>
          <w:sz w:val="22"/>
          <w:szCs w:val="22"/>
        </w:rPr>
        <w:t xml:space="preserve">It is also more aligned with the </w:t>
      </w:r>
      <w:r w:rsidR="00507D7D" w:rsidRPr="00C002BE">
        <w:rPr>
          <w:rFonts w:cs="Arial"/>
          <w:sz w:val="22"/>
          <w:szCs w:val="22"/>
        </w:rPr>
        <w:t>principle of choice</w:t>
      </w:r>
      <w:r w:rsidR="000C4300" w:rsidRPr="00C002BE">
        <w:rPr>
          <w:rFonts w:cs="Arial"/>
          <w:sz w:val="22"/>
          <w:szCs w:val="22"/>
        </w:rPr>
        <w:t xml:space="preserve">. A variable rate structure may also lead to the emergence of </w:t>
      </w:r>
      <w:r w:rsidR="00507D7D" w:rsidRPr="00C002BE">
        <w:rPr>
          <w:rFonts w:cs="Arial"/>
          <w:sz w:val="22"/>
          <w:szCs w:val="22"/>
        </w:rPr>
        <w:t>more low to moderate fee schools, depending on the maximum level of government support provided.</w:t>
      </w:r>
    </w:p>
    <w:p w:rsidR="00745D45" w:rsidRPr="00C002BE" w:rsidRDefault="00745D45" w:rsidP="005417CA">
      <w:pPr>
        <w:pStyle w:val="MoENumberedList"/>
        <w:spacing w:after="0"/>
        <w:ind w:left="0" w:firstLine="0"/>
        <w:jc w:val="both"/>
        <w:rPr>
          <w:rFonts w:cs="Arial"/>
          <w:sz w:val="22"/>
          <w:szCs w:val="22"/>
        </w:rPr>
      </w:pPr>
    </w:p>
    <w:p w:rsidR="00391BCC" w:rsidRPr="00C002BE" w:rsidRDefault="002F2F81" w:rsidP="005417CA">
      <w:pPr>
        <w:pStyle w:val="MoENumberedList"/>
        <w:spacing w:after="0"/>
        <w:ind w:left="0" w:firstLine="0"/>
        <w:jc w:val="both"/>
        <w:rPr>
          <w:rFonts w:cs="Arial"/>
          <w:sz w:val="22"/>
          <w:szCs w:val="22"/>
        </w:rPr>
      </w:pPr>
      <w:r w:rsidRPr="00C002BE">
        <w:rPr>
          <w:rFonts w:cs="Arial"/>
          <w:sz w:val="22"/>
          <w:szCs w:val="22"/>
        </w:rPr>
        <w:t>A</w:t>
      </w:r>
      <w:r w:rsidR="000C4300" w:rsidRPr="00C002BE">
        <w:rPr>
          <w:rFonts w:cs="Arial"/>
          <w:sz w:val="22"/>
          <w:szCs w:val="22"/>
        </w:rPr>
        <w:t xml:space="preserve"> variable </w:t>
      </w:r>
      <w:r w:rsidR="003F566F" w:rsidRPr="00C002BE">
        <w:rPr>
          <w:rFonts w:cs="Arial"/>
          <w:sz w:val="22"/>
          <w:szCs w:val="22"/>
        </w:rPr>
        <w:t>funding model</w:t>
      </w:r>
      <w:r w:rsidR="000C4300" w:rsidRPr="00C002BE">
        <w:rPr>
          <w:rFonts w:cs="Arial"/>
          <w:sz w:val="22"/>
          <w:szCs w:val="22"/>
        </w:rPr>
        <w:t xml:space="preserve"> would</w:t>
      </w:r>
      <w:r w:rsidR="00E55060" w:rsidRPr="00C002BE">
        <w:rPr>
          <w:rFonts w:cs="Arial"/>
          <w:sz w:val="22"/>
          <w:szCs w:val="22"/>
        </w:rPr>
        <w:t>, however,</w:t>
      </w:r>
      <w:r w:rsidR="000C4300" w:rsidRPr="00C002BE">
        <w:rPr>
          <w:rFonts w:cs="Arial"/>
          <w:sz w:val="22"/>
          <w:szCs w:val="22"/>
        </w:rPr>
        <w:t xml:space="preserve"> be administratively more complex than a </w:t>
      </w:r>
      <w:r w:rsidR="003F566F" w:rsidRPr="00C002BE">
        <w:rPr>
          <w:rFonts w:cs="Arial"/>
          <w:sz w:val="22"/>
          <w:szCs w:val="22"/>
        </w:rPr>
        <w:t xml:space="preserve">model which set the subsidy at a fixed percentage of the per-student funding amount for state and state-integrated schools. </w:t>
      </w:r>
      <w:r w:rsidR="000C4300" w:rsidRPr="00C002BE">
        <w:rPr>
          <w:rFonts w:cs="Arial"/>
          <w:sz w:val="22"/>
          <w:szCs w:val="22"/>
        </w:rPr>
        <w:t xml:space="preserve">It would </w:t>
      </w:r>
      <w:r w:rsidRPr="00C002BE">
        <w:rPr>
          <w:rFonts w:cs="Arial"/>
          <w:sz w:val="22"/>
          <w:szCs w:val="22"/>
        </w:rPr>
        <w:t xml:space="preserve">require the development of an administrative mechanism to assess </w:t>
      </w:r>
      <w:r w:rsidR="00D306D6" w:rsidRPr="00C002BE">
        <w:rPr>
          <w:rFonts w:cs="Arial"/>
          <w:sz w:val="22"/>
          <w:szCs w:val="22"/>
        </w:rPr>
        <w:t>the capacity of the school community</w:t>
      </w:r>
      <w:r w:rsidR="006E789B">
        <w:rPr>
          <w:rFonts w:cs="Arial"/>
          <w:sz w:val="22"/>
          <w:szCs w:val="22"/>
        </w:rPr>
        <w:t xml:space="preserve"> to pay</w:t>
      </w:r>
      <w:r w:rsidR="00391BCC" w:rsidRPr="00C002BE">
        <w:rPr>
          <w:rFonts w:cs="Arial"/>
          <w:sz w:val="22"/>
          <w:szCs w:val="22"/>
        </w:rPr>
        <w:t>, which is not straight forward</w:t>
      </w:r>
      <w:r w:rsidRPr="00C002BE">
        <w:rPr>
          <w:rFonts w:cs="Arial"/>
          <w:sz w:val="22"/>
          <w:szCs w:val="22"/>
        </w:rPr>
        <w:t>.</w:t>
      </w:r>
      <w:r w:rsidRPr="00C002BE">
        <w:rPr>
          <w:rStyle w:val="FootnoteReference"/>
          <w:rFonts w:cs="Arial"/>
          <w:sz w:val="22"/>
          <w:szCs w:val="22"/>
        </w:rPr>
        <w:footnoteReference w:id="6"/>
      </w:r>
      <w:r w:rsidRPr="00C002BE">
        <w:rPr>
          <w:rFonts w:cs="Arial"/>
          <w:sz w:val="22"/>
          <w:szCs w:val="22"/>
        </w:rPr>
        <w:t xml:space="preserve"> </w:t>
      </w:r>
      <w:r w:rsidR="00391BCC" w:rsidRPr="00C002BE">
        <w:rPr>
          <w:rFonts w:cs="Arial"/>
          <w:sz w:val="22"/>
          <w:szCs w:val="22"/>
        </w:rPr>
        <w:t>While the measure might includ</w:t>
      </w:r>
      <w:r w:rsidR="00631A5C">
        <w:rPr>
          <w:rFonts w:cs="Arial"/>
          <w:sz w:val="22"/>
          <w:szCs w:val="22"/>
        </w:rPr>
        <w:t>e traditional measures of socio</w:t>
      </w:r>
      <w:r w:rsidR="00391BCC" w:rsidRPr="00C002BE">
        <w:rPr>
          <w:rFonts w:cs="Arial"/>
          <w:sz w:val="22"/>
          <w:szCs w:val="22"/>
        </w:rPr>
        <w:t>economic status, an important element within this would need to be family income.</w:t>
      </w:r>
      <w:r w:rsidR="000C4300" w:rsidRPr="00C002BE">
        <w:rPr>
          <w:rStyle w:val="FootnoteReference"/>
          <w:rFonts w:cs="Arial"/>
          <w:sz w:val="22"/>
          <w:szCs w:val="22"/>
        </w:rPr>
        <w:footnoteReference w:id="7"/>
      </w:r>
    </w:p>
    <w:p w:rsidR="00391BCC" w:rsidRPr="00C002BE" w:rsidRDefault="00391BCC" w:rsidP="005417CA">
      <w:pPr>
        <w:pStyle w:val="MoENumberedList"/>
        <w:spacing w:after="0"/>
        <w:ind w:left="0" w:firstLine="0"/>
        <w:jc w:val="both"/>
        <w:rPr>
          <w:rFonts w:cs="Arial"/>
          <w:sz w:val="22"/>
          <w:szCs w:val="22"/>
        </w:rPr>
      </w:pPr>
    </w:p>
    <w:p w:rsidR="00745D45" w:rsidRDefault="003F566F" w:rsidP="005417CA">
      <w:pPr>
        <w:pStyle w:val="MoENumberedList"/>
        <w:spacing w:after="0"/>
        <w:ind w:left="0" w:firstLine="0"/>
        <w:jc w:val="both"/>
        <w:rPr>
          <w:rFonts w:cs="Arial"/>
          <w:sz w:val="22"/>
          <w:szCs w:val="22"/>
        </w:rPr>
      </w:pPr>
      <w:r w:rsidRPr="00C002BE">
        <w:rPr>
          <w:rFonts w:cs="Arial"/>
          <w:sz w:val="22"/>
          <w:szCs w:val="22"/>
        </w:rPr>
        <w:t>It could be expected that under a variable rate structure a number of private schools would be funded at a relatively high percentage of the per-student funding amount for state and state</w:t>
      </w:r>
      <w:r w:rsidR="009D34FB">
        <w:rPr>
          <w:rFonts w:cs="Arial"/>
          <w:sz w:val="22"/>
          <w:szCs w:val="22"/>
        </w:rPr>
        <w:t>-</w:t>
      </w:r>
      <w:r w:rsidRPr="00C002BE">
        <w:rPr>
          <w:rFonts w:cs="Arial"/>
          <w:sz w:val="22"/>
          <w:szCs w:val="22"/>
        </w:rPr>
        <w:t xml:space="preserve"> integrated schools.</w:t>
      </w:r>
      <w:r w:rsidR="00631A5C">
        <w:rPr>
          <w:rFonts w:cs="Arial"/>
          <w:sz w:val="22"/>
          <w:szCs w:val="22"/>
        </w:rPr>
        <w:t xml:space="preserve"> This raises</w:t>
      </w:r>
      <w:r w:rsidR="00745D45" w:rsidRPr="00C002BE">
        <w:rPr>
          <w:rFonts w:cs="Arial"/>
          <w:sz w:val="22"/>
          <w:szCs w:val="22"/>
        </w:rPr>
        <w:t xml:space="preserve"> the question of whether the existing regulatory framework </w:t>
      </w:r>
      <w:r w:rsidRPr="00C002BE">
        <w:rPr>
          <w:rFonts w:cs="Arial"/>
          <w:sz w:val="22"/>
          <w:szCs w:val="22"/>
        </w:rPr>
        <w:t xml:space="preserve">for private schools </w:t>
      </w:r>
      <w:r w:rsidR="009060AF">
        <w:rPr>
          <w:rFonts w:cs="Arial"/>
          <w:sz w:val="22"/>
          <w:szCs w:val="22"/>
        </w:rPr>
        <w:t>would</w:t>
      </w:r>
      <w:r w:rsidR="00631A5C">
        <w:rPr>
          <w:rFonts w:cs="Arial"/>
          <w:sz w:val="22"/>
          <w:szCs w:val="22"/>
        </w:rPr>
        <w:t xml:space="preserve"> continue</w:t>
      </w:r>
      <w:r w:rsidRPr="00C002BE">
        <w:rPr>
          <w:rFonts w:cs="Arial"/>
          <w:sz w:val="22"/>
          <w:szCs w:val="22"/>
        </w:rPr>
        <w:t xml:space="preserve"> to be appropriate for these schools. </w:t>
      </w:r>
      <w:r w:rsidR="00745D45" w:rsidRPr="00C002BE">
        <w:rPr>
          <w:rFonts w:cs="Arial"/>
          <w:sz w:val="22"/>
          <w:szCs w:val="22"/>
        </w:rPr>
        <w:t>Areas where change might be appropriate would be around oversight of the level of fees that schools might be able to charge so that the higher level of government funding supports improved access, curriculum freedom and the level of accountability to government.</w:t>
      </w:r>
    </w:p>
    <w:p w:rsidR="005417CA" w:rsidRPr="00C002BE" w:rsidRDefault="005417CA" w:rsidP="005417CA">
      <w:pPr>
        <w:pStyle w:val="MoENumberedList"/>
        <w:spacing w:after="0"/>
        <w:ind w:left="0" w:firstLine="0"/>
        <w:jc w:val="both"/>
        <w:rPr>
          <w:rFonts w:cs="Arial"/>
          <w:sz w:val="22"/>
          <w:szCs w:val="22"/>
        </w:rPr>
      </w:pPr>
    </w:p>
    <w:p w:rsidR="006A7B35" w:rsidRPr="00C002BE" w:rsidRDefault="003F566F" w:rsidP="005417CA">
      <w:pPr>
        <w:pStyle w:val="ListParagraph"/>
        <w:ind w:left="0"/>
        <w:jc w:val="both"/>
        <w:rPr>
          <w:rFonts w:ascii="Arial" w:hAnsi="Arial" w:cs="Arial"/>
          <w:sz w:val="22"/>
          <w:szCs w:val="22"/>
        </w:rPr>
      </w:pPr>
      <w:r w:rsidRPr="00C002BE">
        <w:rPr>
          <w:rFonts w:ascii="Arial" w:hAnsi="Arial" w:cs="Arial"/>
          <w:sz w:val="22"/>
          <w:szCs w:val="22"/>
        </w:rPr>
        <w:t xml:space="preserve">On balance, given the particular structure of the private school sector in </w:t>
      </w:r>
      <w:r w:rsidR="00511D9F" w:rsidRPr="00C002BE">
        <w:rPr>
          <w:rFonts w:ascii="Arial" w:hAnsi="Arial" w:cs="Arial"/>
          <w:sz w:val="22"/>
          <w:szCs w:val="22"/>
        </w:rPr>
        <w:t>N</w:t>
      </w:r>
      <w:r w:rsidRPr="00C002BE">
        <w:rPr>
          <w:rFonts w:ascii="Arial" w:hAnsi="Arial" w:cs="Arial"/>
          <w:sz w:val="22"/>
          <w:szCs w:val="22"/>
        </w:rPr>
        <w:t>ew Zealand</w:t>
      </w:r>
      <w:r w:rsidR="00511D9F" w:rsidRPr="00C002BE">
        <w:rPr>
          <w:rFonts w:ascii="Arial" w:hAnsi="Arial" w:cs="Arial"/>
          <w:sz w:val="22"/>
          <w:szCs w:val="22"/>
        </w:rPr>
        <w:t xml:space="preserve"> and the regulatory framework in which these schools operate</w:t>
      </w:r>
      <w:r w:rsidR="006E789B">
        <w:rPr>
          <w:rFonts w:ascii="Arial" w:hAnsi="Arial" w:cs="Arial"/>
          <w:sz w:val="22"/>
          <w:szCs w:val="22"/>
        </w:rPr>
        <w:t>,</w:t>
      </w:r>
      <w:r w:rsidR="00511D9F" w:rsidRPr="00C002BE">
        <w:rPr>
          <w:rFonts w:ascii="Arial" w:hAnsi="Arial" w:cs="Arial"/>
          <w:sz w:val="22"/>
          <w:szCs w:val="22"/>
        </w:rPr>
        <w:t xml:space="preserve"> we consider a variable rate model would introduce unnecessary complexity into the funding system.</w:t>
      </w:r>
    </w:p>
    <w:p w:rsidR="00CE3C0A" w:rsidRDefault="00CE3C0A">
      <w:pPr>
        <w:rPr>
          <w:rFonts w:ascii="Arial" w:eastAsia="Times New Roman" w:hAnsi="Arial" w:cs="Arial"/>
          <w:sz w:val="22"/>
          <w:szCs w:val="22"/>
        </w:rPr>
      </w:pPr>
    </w:p>
    <w:p w:rsidR="00CE3C0A" w:rsidRDefault="00CE3C0A"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Pr>
          <w:rFonts w:ascii="Arial" w:hAnsi="Arial" w:cs="Arial"/>
          <w:i/>
          <w:sz w:val="22"/>
        </w:rPr>
        <w:t>Question</w:t>
      </w:r>
      <w:r w:rsidR="009060AF">
        <w:rPr>
          <w:rFonts w:ascii="Arial" w:hAnsi="Arial" w:cs="Arial"/>
          <w:i/>
          <w:sz w:val="22"/>
        </w:rPr>
        <w:t xml:space="preserve">s </w:t>
      </w:r>
      <w:r>
        <w:rPr>
          <w:rFonts w:ascii="Arial" w:hAnsi="Arial" w:cs="Arial"/>
          <w:i/>
          <w:sz w:val="22"/>
        </w:rPr>
        <w:t>for discussion</w:t>
      </w:r>
    </w:p>
    <w:p w:rsidR="006A58BA" w:rsidRDefault="006A58BA"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CF13D0" w:rsidRDefault="00A5052F"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sidRPr="001C4E90">
        <w:rPr>
          <w:rFonts w:ascii="Arial" w:hAnsi="Arial" w:cs="Arial"/>
          <w:i/>
          <w:sz w:val="22"/>
        </w:rPr>
        <w:t>Do you agree that</w:t>
      </w:r>
      <w:r w:rsidR="003C5C11">
        <w:rPr>
          <w:rFonts w:ascii="Arial" w:hAnsi="Arial" w:cs="Arial"/>
          <w:i/>
          <w:sz w:val="22"/>
        </w:rPr>
        <w:t xml:space="preserve"> the private school per-</w:t>
      </w:r>
      <w:r w:rsidR="00CF13D0" w:rsidRPr="001C4E90">
        <w:rPr>
          <w:rFonts w:ascii="Arial" w:hAnsi="Arial" w:cs="Arial"/>
          <w:i/>
          <w:sz w:val="22"/>
        </w:rPr>
        <w:t xml:space="preserve">student subsidy </w:t>
      </w:r>
      <w:r w:rsidRPr="001C4E90">
        <w:rPr>
          <w:rFonts w:ascii="Arial" w:hAnsi="Arial" w:cs="Arial"/>
          <w:i/>
          <w:sz w:val="22"/>
        </w:rPr>
        <w:t xml:space="preserve">should </w:t>
      </w:r>
      <w:r w:rsidR="00CF13D0" w:rsidRPr="001C4E90">
        <w:rPr>
          <w:rFonts w:ascii="Arial" w:hAnsi="Arial" w:cs="Arial"/>
          <w:i/>
          <w:sz w:val="22"/>
        </w:rPr>
        <w:t xml:space="preserve">be directly </w:t>
      </w:r>
      <w:r w:rsidR="00F51DEF" w:rsidRPr="001C4E90">
        <w:rPr>
          <w:rFonts w:ascii="Arial" w:hAnsi="Arial" w:cs="Arial"/>
          <w:i/>
          <w:sz w:val="22"/>
        </w:rPr>
        <w:t>link</w:t>
      </w:r>
      <w:r w:rsidR="00CF13D0" w:rsidRPr="001C4E90">
        <w:rPr>
          <w:rFonts w:ascii="Arial" w:hAnsi="Arial" w:cs="Arial"/>
          <w:i/>
          <w:sz w:val="22"/>
        </w:rPr>
        <w:t>ed to the per-student funding amount for state and state-integrated schools?</w:t>
      </w:r>
    </w:p>
    <w:p w:rsidR="00CF13D0" w:rsidRPr="006A58BA" w:rsidRDefault="00CF13D0"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3C5C11" w:rsidRDefault="00A5052F"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sidRPr="001C4E90">
        <w:rPr>
          <w:rFonts w:ascii="Arial" w:hAnsi="Arial" w:cs="Arial"/>
          <w:i/>
          <w:sz w:val="22"/>
        </w:rPr>
        <w:t>W</w:t>
      </w:r>
      <w:r w:rsidR="00CF13D0" w:rsidRPr="001C4E90">
        <w:rPr>
          <w:rFonts w:ascii="Arial" w:hAnsi="Arial" w:cs="Arial"/>
          <w:i/>
          <w:sz w:val="22"/>
        </w:rPr>
        <w:t xml:space="preserve">hat </w:t>
      </w:r>
      <w:r w:rsidR="00626100">
        <w:rPr>
          <w:rFonts w:ascii="Arial" w:hAnsi="Arial" w:cs="Arial"/>
          <w:i/>
          <w:sz w:val="22"/>
        </w:rPr>
        <w:t>needs to be considered when thinking about the value of the per-student subsidy for private schools?</w:t>
      </w:r>
    </w:p>
    <w:p w:rsidR="003C5C11" w:rsidRDefault="003C5C11"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0E0294" w:rsidRDefault="00626100"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Pr>
          <w:rFonts w:ascii="Arial" w:hAnsi="Arial" w:cs="Arial"/>
          <w:i/>
          <w:sz w:val="22"/>
        </w:rPr>
        <w:t xml:space="preserve">What </w:t>
      </w:r>
      <w:r w:rsidR="00CF13D0" w:rsidRPr="001C4E90">
        <w:rPr>
          <w:rFonts w:ascii="Arial" w:hAnsi="Arial" w:cs="Arial"/>
          <w:i/>
          <w:sz w:val="22"/>
        </w:rPr>
        <w:t xml:space="preserve">percentage of the per-student funding amount for state and state-integrated schools </w:t>
      </w:r>
      <w:r w:rsidR="00A5052F" w:rsidRPr="001C4E90">
        <w:rPr>
          <w:rFonts w:ascii="Arial" w:hAnsi="Arial" w:cs="Arial"/>
          <w:i/>
          <w:sz w:val="22"/>
        </w:rPr>
        <w:t>would it be appropriate for</w:t>
      </w:r>
      <w:r w:rsidR="00CF13D0" w:rsidRPr="001C4E90">
        <w:rPr>
          <w:rFonts w:ascii="Arial" w:hAnsi="Arial" w:cs="Arial"/>
          <w:i/>
          <w:sz w:val="22"/>
        </w:rPr>
        <w:t xml:space="preserve"> private schools </w:t>
      </w:r>
      <w:r w:rsidR="00A5052F" w:rsidRPr="001C4E90">
        <w:rPr>
          <w:rFonts w:ascii="Arial" w:hAnsi="Arial" w:cs="Arial"/>
          <w:i/>
          <w:sz w:val="22"/>
        </w:rPr>
        <w:t xml:space="preserve">to </w:t>
      </w:r>
      <w:r w:rsidR="000E0294" w:rsidRPr="001C4E90">
        <w:rPr>
          <w:rFonts w:ascii="Arial" w:hAnsi="Arial" w:cs="Arial"/>
          <w:i/>
          <w:sz w:val="22"/>
        </w:rPr>
        <w:t>receive?</w:t>
      </w:r>
    </w:p>
    <w:p w:rsidR="001C4E90" w:rsidRPr="006A58BA" w:rsidRDefault="001C4E90"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p>
    <w:p w:rsidR="001C4E90" w:rsidRDefault="00CF13D0" w:rsidP="006A58BA">
      <w:pPr>
        <w:pBdr>
          <w:top w:val="single" w:sz="12" w:space="1" w:color="auto"/>
          <w:left w:val="single" w:sz="12" w:space="4" w:color="auto"/>
          <w:bottom w:val="single" w:sz="12" w:space="0" w:color="auto"/>
          <w:right w:val="single" w:sz="12" w:space="0" w:color="auto"/>
        </w:pBdr>
        <w:ind w:right="84"/>
        <w:rPr>
          <w:rFonts w:ascii="Arial" w:hAnsi="Arial" w:cs="Arial"/>
          <w:i/>
          <w:sz w:val="22"/>
        </w:rPr>
      </w:pPr>
      <w:r w:rsidRPr="001C4E90">
        <w:rPr>
          <w:rFonts w:ascii="Arial" w:hAnsi="Arial" w:cs="Arial"/>
          <w:i/>
          <w:sz w:val="22"/>
        </w:rPr>
        <w:t xml:space="preserve">Should </w:t>
      </w:r>
      <w:r w:rsidR="000E0294" w:rsidRPr="001C4E90">
        <w:rPr>
          <w:rFonts w:ascii="Arial" w:hAnsi="Arial" w:cs="Arial"/>
          <w:i/>
          <w:sz w:val="22"/>
        </w:rPr>
        <w:t>th</w:t>
      </w:r>
      <w:r w:rsidR="000A1D28" w:rsidRPr="001C4E90">
        <w:rPr>
          <w:rFonts w:ascii="Arial" w:hAnsi="Arial" w:cs="Arial"/>
          <w:i/>
          <w:sz w:val="22"/>
        </w:rPr>
        <w:t>e percentage</w:t>
      </w:r>
      <w:r w:rsidRPr="001C4E90">
        <w:rPr>
          <w:rFonts w:ascii="Arial" w:hAnsi="Arial" w:cs="Arial"/>
          <w:i/>
          <w:sz w:val="22"/>
        </w:rPr>
        <w:t xml:space="preserve"> vary depending on the capacity </w:t>
      </w:r>
      <w:r w:rsidR="000E0294" w:rsidRPr="001C4E90">
        <w:rPr>
          <w:rFonts w:ascii="Arial" w:hAnsi="Arial" w:cs="Arial"/>
          <w:i/>
          <w:sz w:val="22"/>
        </w:rPr>
        <w:t>of the school community to pay?</w:t>
      </w:r>
      <w:r w:rsidR="006C489D" w:rsidRPr="001C4E90">
        <w:rPr>
          <w:rFonts w:ascii="Arial" w:hAnsi="Arial" w:cs="Arial"/>
          <w:i/>
          <w:sz w:val="22"/>
        </w:rPr>
        <w:t xml:space="preserve"> If so, ho</w:t>
      </w:r>
      <w:r w:rsidR="00894346" w:rsidRPr="001C4E90">
        <w:rPr>
          <w:rFonts w:ascii="Arial" w:hAnsi="Arial" w:cs="Arial"/>
          <w:i/>
          <w:sz w:val="22"/>
        </w:rPr>
        <w:t xml:space="preserve">w could this </w:t>
      </w:r>
      <w:proofErr w:type="gramStart"/>
      <w:r w:rsidR="00894346" w:rsidRPr="001C4E90">
        <w:rPr>
          <w:rFonts w:ascii="Arial" w:hAnsi="Arial" w:cs="Arial"/>
          <w:i/>
          <w:sz w:val="22"/>
        </w:rPr>
        <w:t>be</w:t>
      </w:r>
      <w:proofErr w:type="gramEnd"/>
      <w:r w:rsidR="00894346" w:rsidRPr="001C4E90">
        <w:rPr>
          <w:rFonts w:ascii="Arial" w:hAnsi="Arial" w:cs="Arial"/>
          <w:i/>
          <w:sz w:val="22"/>
        </w:rPr>
        <w:t xml:space="preserve"> assessed?</w:t>
      </w:r>
    </w:p>
    <w:p w:rsidR="00CE3C0A" w:rsidRPr="001C4E90" w:rsidRDefault="00CE3C0A" w:rsidP="006A58BA">
      <w:pPr>
        <w:pBdr>
          <w:top w:val="single" w:sz="12" w:space="1" w:color="3472AC"/>
          <w:left w:val="single" w:sz="12" w:space="4" w:color="3472AC"/>
          <w:bottom w:val="single" w:sz="12" w:space="1" w:color="3472AC"/>
          <w:right w:val="single" w:sz="12" w:space="0" w:color="3472AC"/>
        </w:pBdr>
        <w:spacing w:after="120"/>
        <w:ind w:right="510"/>
        <w:rPr>
          <w:rFonts w:ascii="Arial" w:hAnsi="Arial" w:cs="Arial"/>
          <w:i/>
          <w:sz w:val="22"/>
        </w:rPr>
        <w:sectPr w:rsidR="00CE3C0A" w:rsidRPr="001C4E90" w:rsidSect="00482016">
          <w:headerReference w:type="default" r:id="rId10"/>
          <w:footerReference w:type="default" r:id="rId11"/>
          <w:headerReference w:type="first" r:id="rId12"/>
          <w:pgSz w:w="11906" w:h="16838"/>
          <w:pgMar w:top="1440" w:right="1080" w:bottom="1440" w:left="1080" w:header="708" w:footer="708" w:gutter="0"/>
          <w:cols w:space="708"/>
          <w:titlePg/>
          <w:docGrid w:linePitch="360"/>
        </w:sectPr>
      </w:pPr>
    </w:p>
    <w:p w:rsidR="00177BD4" w:rsidRDefault="00177BD4" w:rsidP="00177BD4">
      <w:pPr>
        <w:pStyle w:val="ListParagraph"/>
        <w:ind w:left="0"/>
        <w:rPr>
          <w:rFonts w:ascii="Arial" w:hAnsi="Arial" w:cs="Arial"/>
          <w:i/>
          <w:sz w:val="22"/>
          <w:szCs w:val="22"/>
        </w:rPr>
      </w:pPr>
      <w:r w:rsidRPr="002531E1">
        <w:rPr>
          <w:rFonts w:ascii="Arial" w:eastAsiaTheme="majorEastAsia" w:hAnsi="Arial" w:cs="Arial"/>
          <w:b/>
          <w:bCs/>
          <w:i/>
          <w:color w:val="3472AC"/>
          <w:sz w:val="22"/>
          <w:szCs w:val="22"/>
          <w:lang w:val="en-NZ"/>
        </w:rPr>
        <w:t>Size of private school sector 2006-2015</w:t>
      </w:r>
    </w:p>
    <w:p w:rsidR="00177BD4" w:rsidRDefault="00177BD4" w:rsidP="00177BD4">
      <w:pPr>
        <w:pStyle w:val="ListParagraph"/>
        <w:ind w:left="0"/>
        <w:rPr>
          <w:rFonts w:ascii="Arial" w:hAnsi="Arial" w:cs="Arial"/>
          <w:i/>
          <w:sz w:val="22"/>
          <w:szCs w:val="22"/>
        </w:rPr>
      </w:pPr>
    </w:p>
    <w:tbl>
      <w:tblPr>
        <w:tblStyle w:val="FiveGoals"/>
        <w:tblW w:w="0" w:type="auto"/>
        <w:tblLayout w:type="fixed"/>
        <w:tblLook w:val="04A0"/>
      </w:tblPr>
      <w:tblGrid>
        <w:gridCol w:w="2093"/>
        <w:gridCol w:w="992"/>
        <w:gridCol w:w="992"/>
        <w:gridCol w:w="992"/>
        <w:gridCol w:w="992"/>
        <w:gridCol w:w="992"/>
        <w:gridCol w:w="1029"/>
        <w:gridCol w:w="992"/>
        <w:gridCol w:w="992"/>
        <w:gridCol w:w="993"/>
        <w:gridCol w:w="992"/>
      </w:tblGrid>
      <w:tr w:rsidR="00177BD4" w:rsidTr="00177BD4">
        <w:trPr>
          <w:cnfStyle w:val="100000000000"/>
          <w:trHeight w:val="340"/>
        </w:trPr>
        <w:tc>
          <w:tcPr>
            <w:cnfStyle w:val="001000000000"/>
            <w:tcW w:w="2093" w:type="dxa"/>
            <w:vAlign w:val="center"/>
          </w:tcPr>
          <w:p w:rsidR="00177BD4" w:rsidRDefault="00177BD4" w:rsidP="00177BD4">
            <w:pPr>
              <w:pStyle w:val="ListParagraph"/>
              <w:ind w:left="0"/>
              <w:jc w:val="center"/>
              <w:rPr>
                <w:rFonts w:ascii="Arial" w:hAnsi="Arial" w:cs="Arial"/>
                <w:sz w:val="22"/>
              </w:rPr>
            </w:pP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2006</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2007</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2008</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2009</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2010</w:t>
            </w:r>
          </w:p>
        </w:tc>
        <w:tc>
          <w:tcPr>
            <w:tcW w:w="1029"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2011</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2012</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2013</w:t>
            </w:r>
          </w:p>
        </w:tc>
        <w:tc>
          <w:tcPr>
            <w:tcW w:w="993"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Pr>
                <w:rFonts w:ascii="Arial" w:hAnsi="Arial" w:cs="Arial"/>
                <w:sz w:val="22"/>
              </w:rPr>
              <w:t>2014</w:t>
            </w:r>
          </w:p>
        </w:tc>
        <w:tc>
          <w:tcPr>
            <w:tcW w:w="992" w:type="dxa"/>
            <w:vAlign w:val="center"/>
          </w:tcPr>
          <w:p w:rsidR="00177BD4" w:rsidRDefault="00177BD4" w:rsidP="00177BD4">
            <w:pPr>
              <w:pStyle w:val="ListParagraph"/>
              <w:spacing w:before="100" w:beforeAutospacing="1" w:after="100" w:afterAutospacing="1"/>
              <w:ind w:left="0"/>
              <w:jc w:val="center"/>
              <w:cnfStyle w:val="100000000000"/>
              <w:rPr>
                <w:rFonts w:ascii="Arial" w:hAnsi="Arial" w:cs="Arial"/>
                <w:sz w:val="22"/>
              </w:rPr>
            </w:pPr>
            <w:r w:rsidRPr="00E80003">
              <w:rPr>
                <w:rFonts w:ascii="Arial" w:hAnsi="Arial" w:cs="Arial"/>
                <w:sz w:val="22"/>
              </w:rPr>
              <w:t>2015</w:t>
            </w:r>
          </w:p>
        </w:tc>
      </w:tr>
      <w:tr w:rsidR="00177BD4" w:rsidTr="00177BD4">
        <w:trPr>
          <w:trHeight w:val="510"/>
        </w:trPr>
        <w:tc>
          <w:tcPr>
            <w:cnfStyle w:val="001000000000"/>
            <w:tcW w:w="2093"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Number of schools (fully registered)</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104</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102</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94</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93</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92</w:t>
            </w:r>
          </w:p>
        </w:tc>
        <w:tc>
          <w:tcPr>
            <w:tcW w:w="1029"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85</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86</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84</w:t>
            </w:r>
          </w:p>
        </w:tc>
        <w:tc>
          <w:tcPr>
            <w:tcW w:w="993"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86</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86</w:t>
            </w:r>
          </w:p>
        </w:tc>
      </w:tr>
      <w:tr w:rsidR="00177BD4" w:rsidTr="00177BD4">
        <w:trPr>
          <w:trHeight w:val="510"/>
        </w:trPr>
        <w:tc>
          <w:tcPr>
            <w:cnfStyle w:val="001000000000"/>
            <w:tcW w:w="2093"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Number of schools (prov. registered)</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4</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4</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p>
        </w:tc>
        <w:tc>
          <w:tcPr>
            <w:tcW w:w="1029"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w:t>
            </w:r>
          </w:p>
        </w:tc>
        <w:tc>
          <w:tcPr>
            <w:tcW w:w="993"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w:t>
            </w:r>
          </w:p>
        </w:tc>
      </w:tr>
      <w:tr w:rsidR="00177BD4" w:rsidTr="00177BD4">
        <w:trPr>
          <w:trHeight w:val="510"/>
        </w:trPr>
        <w:tc>
          <w:tcPr>
            <w:cnfStyle w:val="001000000000"/>
            <w:tcW w:w="2093"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 xml:space="preserve">Domestic </w:t>
            </w:r>
            <w:r>
              <w:rPr>
                <w:rFonts w:cs="Arial"/>
                <w:sz w:val="20"/>
              </w:rPr>
              <w:t>student</w:t>
            </w:r>
            <w:r w:rsidRPr="00F10D80">
              <w:rPr>
                <w:rFonts w:cs="Arial"/>
                <w:sz w:val="20"/>
              </w:rPr>
              <w:t>s (1 July)</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28,594</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29,377</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29,546</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28,982</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27,693</w:t>
            </w:r>
          </w:p>
        </w:tc>
        <w:tc>
          <w:tcPr>
            <w:tcW w:w="1029"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27,557</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27,300</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26,601</w:t>
            </w:r>
          </w:p>
        </w:tc>
        <w:tc>
          <w:tcPr>
            <w:tcW w:w="993"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26,834</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26,871</w:t>
            </w:r>
          </w:p>
        </w:tc>
      </w:tr>
      <w:tr w:rsidR="00177BD4" w:rsidTr="00177BD4">
        <w:trPr>
          <w:trHeight w:val="510"/>
        </w:trPr>
        <w:tc>
          <w:tcPr>
            <w:cnfStyle w:val="001000000000"/>
            <w:tcW w:w="2093"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 xml:space="preserve">International </w:t>
            </w:r>
            <w:r>
              <w:rPr>
                <w:rFonts w:cs="Arial"/>
                <w:sz w:val="20"/>
              </w:rPr>
              <w:t>students</w:t>
            </w:r>
            <w:r w:rsidRPr="00F10D80">
              <w:rPr>
                <w:rFonts w:cs="Arial"/>
                <w:sz w:val="20"/>
              </w:rPr>
              <w:t xml:space="preserve"> (1 July)</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1,285</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1,337</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1,451</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1,392</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1,251</w:t>
            </w:r>
          </w:p>
        </w:tc>
        <w:tc>
          <w:tcPr>
            <w:tcW w:w="1029"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1,371</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1,338</w:t>
            </w:r>
          </w:p>
        </w:tc>
        <w:tc>
          <w:tcPr>
            <w:tcW w:w="992"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1,351</w:t>
            </w:r>
          </w:p>
        </w:tc>
        <w:tc>
          <w:tcPr>
            <w:tcW w:w="993" w:type="dxa"/>
            <w:vAlign w:val="center"/>
          </w:tcPr>
          <w:p w:rsidR="00177BD4" w:rsidRPr="00BB0E6B"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1,442</w:t>
            </w:r>
          </w:p>
        </w:tc>
        <w:tc>
          <w:tcPr>
            <w:tcW w:w="992" w:type="dxa"/>
            <w:vAlign w:val="center"/>
          </w:tcPr>
          <w:p w:rsidR="00177BD4" w:rsidRDefault="00177BD4" w:rsidP="00177BD4">
            <w:pPr>
              <w:pStyle w:val="ListParagraph"/>
              <w:spacing w:before="100" w:beforeAutospacing="1" w:after="100" w:afterAutospacing="1"/>
              <w:ind w:left="0"/>
              <w:jc w:val="right"/>
              <w:cnfStyle w:val="000000000000"/>
              <w:rPr>
                <w:rFonts w:ascii="Arial" w:hAnsi="Arial" w:cs="Arial"/>
                <w:sz w:val="22"/>
              </w:rPr>
            </w:pPr>
            <w:r>
              <w:rPr>
                <w:rFonts w:ascii="Arial" w:hAnsi="Arial" w:cs="Arial"/>
                <w:sz w:val="22"/>
              </w:rPr>
              <w:t>1,558</w:t>
            </w:r>
          </w:p>
        </w:tc>
      </w:tr>
    </w:tbl>
    <w:p w:rsidR="00177BD4" w:rsidRDefault="00177BD4" w:rsidP="00177BD4">
      <w:pPr>
        <w:pStyle w:val="ListParagraph"/>
        <w:ind w:left="0"/>
        <w:jc w:val="both"/>
        <w:rPr>
          <w:rFonts w:ascii="Arial" w:hAnsi="Arial" w:cs="Arial"/>
          <w:sz w:val="22"/>
          <w:szCs w:val="22"/>
        </w:rPr>
      </w:pPr>
    </w:p>
    <w:p w:rsidR="00177BD4" w:rsidRDefault="00177BD4" w:rsidP="00177BD4">
      <w:pPr>
        <w:pStyle w:val="ListParagraph"/>
        <w:ind w:left="0"/>
        <w:jc w:val="both"/>
        <w:rPr>
          <w:rFonts w:ascii="Arial" w:hAnsi="Arial" w:cs="Arial"/>
          <w:i/>
          <w:sz w:val="22"/>
          <w:szCs w:val="22"/>
        </w:rPr>
      </w:pPr>
      <w:r w:rsidRPr="002531E1">
        <w:rPr>
          <w:rFonts w:ascii="Arial" w:eastAsiaTheme="majorEastAsia" w:hAnsi="Arial" w:cs="Arial"/>
          <w:b/>
          <w:bCs/>
          <w:i/>
          <w:color w:val="3472AC"/>
          <w:sz w:val="22"/>
          <w:szCs w:val="22"/>
          <w:lang w:val="en-NZ"/>
        </w:rPr>
        <w:t>Private school deciles</w:t>
      </w:r>
    </w:p>
    <w:p w:rsidR="00177BD4" w:rsidRDefault="00177BD4" w:rsidP="00177BD4">
      <w:pPr>
        <w:pStyle w:val="ListParagraph"/>
        <w:ind w:left="0"/>
        <w:jc w:val="both"/>
        <w:rPr>
          <w:rFonts w:ascii="Arial" w:hAnsi="Arial" w:cs="Arial"/>
          <w:i/>
          <w:sz w:val="22"/>
          <w:szCs w:val="22"/>
        </w:rPr>
      </w:pPr>
    </w:p>
    <w:tbl>
      <w:tblPr>
        <w:tblStyle w:val="FiveGoals"/>
        <w:tblW w:w="0" w:type="auto"/>
        <w:tblLook w:val="04A0"/>
      </w:tblPr>
      <w:tblGrid>
        <w:gridCol w:w="1334"/>
        <w:gridCol w:w="680"/>
        <w:gridCol w:w="680"/>
        <w:gridCol w:w="680"/>
        <w:gridCol w:w="680"/>
        <w:gridCol w:w="680"/>
        <w:gridCol w:w="680"/>
        <w:gridCol w:w="680"/>
        <w:gridCol w:w="680"/>
        <w:gridCol w:w="680"/>
        <w:gridCol w:w="680"/>
        <w:gridCol w:w="1046"/>
      </w:tblGrid>
      <w:tr w:rsidR="00177BD4" w:rsidTr="00177BD4">
        <w:trPr>
          <w:cnfStyle w:val="100000000000"/>
          <w:trHeight w:val="340"/>
        </w:trPr>
        <w:tc>
          <w:tcPr>
            <w:cnfStyle w:val="001000000000"/>
            <w:tcW w:w="1334" w:type="dxa"/>
            <w:vAlign w:val="center"/>
          </w:tcPr>
          <w:p w:rsidR="00177BD4" w:rsidRPr="00F10999" w:rsidRDefault="00177BD4" w:rsidP="00177BD4">
            <w:pPr>
              <w:pStyle w:val="MoEBodyText"/>
              <w:spacing w:before="100" w:beforeAutospacing="1" w:after="100" w:afterAutospacing="1" w:line="240" w:lineRule="auto"/>
              <w:ind w:left="0"/>
              <w:jc w:val="center"/>
              <w:rPr>
                <w:rFonts w:eastAsia="Times New Roman" w:cs="Arial"/>
                <w:sz w:val="22"/>
                <w:szCs w:val="22"/>
              </w:rPr>
            </w:pPr>
            <w:r w:rsidRPr="00F10999">
              <w:rPr>
                <w:rFonts w:eastAsia="Times New Roman" w:cs="Arial"/>
                <w:sz w:val="22"/>
                <w:szCs w:val="22"/>
              </w:rPr>
              <w:t>Decile</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1</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2</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3</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4</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5</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6</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7</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8</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9</w:t>
            </w:r>
          </w:p>
        </w:tc>
        <w:tc>
          <w:tcPr>
            <w:tcW w:w="680"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10</w:t>
            </w:r>
          </w:p>
        </w:tc>
        <w:tc>
          <w:tcPr>
            <w:tcW w:w="1046" w:type="dxa"/>
            <w:vAlign w:val="center"/>
          </w:tcPr>
          <w:p w:rsidR="00177BD4" w:rsidRPr="00F10999" w:rsidRDefault="00177BD4" w:rsidP="00177BD4">
            <w:pPr>
              <w:pStyle w:val="MoEBodyText"/>
              <w:spacing w:before="100" w:beforeAutospacing="1" w:after="100" w:afterAutospacing="1" w:line="240" w:lineRule="auto"/>
              <w:ind w:left="0"/>
              <w:jc w:val="center"/>
              <w:cnfStyle w:val="100000000000"/>
              <w:rPr>
                <w:rFonts w:eastAsia="Times New Roman" w:cs="Arial"/>
                <w:sz w:val="22"/>
                <w:szCs w:val="22"/>
              </w:rPr>
            </w:pPr>
            <w:r w:rsidRPr="00F10999">
              <w:rPr>
                <w:rFonts w:eastAsia="Times New Roman" w:cs="Arial"/>
                <w:sz w:val="22"/>
                <w:szCs w:val="22"/>
              </w:rPr>
              <w:t>No data</w:t>
            </w:r>
          </w:p>
        </w:tc>
      </w:tr>
      <w:tr w:rsidR="00177BD4" w:rsidTr="00177BD4">
        <w:tc>
          <w:tcPr>
            <w:cnfStyle w:val="001000000000"/>
            <w:tcW w:w="1334" w:type="dxa"/>
            <w:vAlign w:val="center"/>
          </w:tcPr>
          <w:p w:rsidR="00177BD4" w:rsidRPr="000A5663" w:rsidRDefault="00177BD4" w:rsidP="00177BD4">
            <w:pPr>
              <w:pStyle w:val="MoEBodyText"/>
              <w:spacing w:before="100" w:beforeAutospacing="1" w:after="100" w:afterAutospacing="1" w:line="240" w:lineRule="auto"/>
              <w:rPr>
                <w:rFonts w:eastAsia="Times New Roman" w:cs="Arial"/>
              </w:rPr>
            </w:pPr>
            <w:r w:rsidRPr="00F10D80">
              <w:rPr>
                <w:rFonts w:eastAsia="Times New Roman" w:cs="Arial"/>
              </w:rPr>
              <w:t>Number of schools</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0</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0</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1</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2</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2</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0</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5</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5</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9</w:t>
            </w:r>
          </w:p>
        </w:tc>
        <w:tc>
          <w:tcPr>
            <w:tcW w:w="680"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30</w:t>
            </w:r>
          </w:p>
        </w:tc>
        <w:tc>
          <w:tcPr>
            <w:tcW w:w="1046" w:type="dxa"/>
            <w:vAlign w:val="center"/>
          </w:tcPr>
          <w:p w:rsidR="00177BD4" w:rsidRPr="000A5663" w:rsidRDefault="00177BD4" w:rsidP="00177BD4">
            <w:pPr>
              <w:pStyle w:val="ListParagraph"/>
              <w:spacing w:before="100" w:beforeAutospacing="1" w:after="100" w:afterAutospacing="1"/>
              <w:ind w:left="0"/>
              <w:jc w:val="right"/>
              <w:cnfStyle w:val="000000000000"/>
              <w:rPr>
                <w:rFonts w:ascii="Arial" w:hAnsi="Arial" w:cs="Arial"/>
                <w:sz w:val="22"/>
              </w:rPr>
            </w:pPr>
            <w:r w:rsidRPr="000A5663">
              <w:rPr>
                <w:rFonts w:ascii="Arial" w:hAnsi="Arial" w:cs="Arial"/>
                <w:sz w:val="22"/>
              </w:rPr>
              <w:t>35</w:t>
            </w:r>
          </w:p>
        </w:tc>
      </w:tr>
    </w:tbl>
    <w:p w:rsidR="00177BD4" w:rsidRDefault="00177BD4" w:rsidP="00177BD4">
      <w:pPr>
        <w:pStyle w:val="ListParagraph"/>
        <w:ind w:left="0"/>
        <w:jc w:val="both"/>
        <w:rPr>
          <w:rFonts w:ascii="Arial" w:hAnsi="Arial" w:cs="Arial"/>
          <w:sz w:val="22"/>
          <w:szCs w:val="22"/>
        </w:rPr>
      </w:pPr>
    </w:p>
    <w:p w:rsidR="00177BD4" w:rsidRDefault="00177BD4" w:rsidP="00177BD4">
      <w:pPr>
        <w:pStyle w:val="ListParagraph"/>
        <w:ind w:left="0"/>
        <w:jc w:val="both"/>
        <w:rPr>
          <w:rFonts w:ascii="Arial" w:hAnsi="Arial" w:cs="Arial"/>
          <w:i/>
          <w:sz w:val="22"/>
          <w:szCs w:val="22"/>
        </w:rPr>
      </w:pPr>
      <w:r w:rsidRPr="002531E1">
        <w:rPr>
          <w:rFonts w:ascii="Arial" w:eastAsiaTheme="majorEastAsia" w:hAnsi="Arial" w:cs="Arial"/>
          <w:b/>
          <w:bCs/>
          <w:i/>
          <w:color w:val="3472AC"/>
          <w:sz w:val="22"/>
          <w:szCs w:val="22"/>
          <w:lang w:val="en-NZ"/>
        </w:rPr>
        <w:t xml:space="preserve">Private school per-student subsidy rates </w:t>
      </w:r>
      <w:r>
        <w:rPr>
          <w:rFonts w:ascii="Arial" w:eastAsiaTheme="majorEastAsia" w:hAnsi="Arial" w:cs="Arial"/>
          <w:b/>
          <w:bCs/>
          <w:i/>
          <w:color w:val="3472AC"/>
          <w:sz w:val="22"/>
          <w:szCs w:val="22"/>
          <w:lang w:val="en-NZ"/>
        </w:rPr>
        <w:t xml:space="preserve">(GST inclusive) </w:t>
      </w:r>
      <w:r w:rsidRPr="002531E1">
        <w:rPr>
          <w:rFonts w:ascii="Arial" w:eastAsiaTheme="majorEastAsia" w:hAnsi="Arial" w:cs="Arial"/>
          <w:b/>
          <w:bCs/>
          <w:i/>
          <w:color w:val="3472AC"/>
          <w:sz w:val="22"/>
          <w:szCs w:val="22"/>
          <w:lang w:val="en-NZ"/>
        </w:rPr>
        <w:t>2011-2016</w:t>
      </w:r>
    </w:p>
    <w:p w:rsidR="00177BD4" w:rsidRPr="000A5663" w:rsidRDefault="00177BD4" w:rsidP="00177BD4">
      <w:pPr>
        <w:pStyle w:val="ListParagraph"/>
        <w:ind w:left="0"/>
        <w:jc w:val="both"/>
        <w:rPr>
          <w:rFonts w:ascii="Arial" w:hAnsi="Arial" w:cs="Arial"/>
          <w:i/>
          <w:sz w:val="22"/>
          <w:szCs w:val="22"/>
        </w:rPr>
      </w:pPr>
    </w:p>
    <w:tbl>
      <w:tblPr>
        <w:tblStyle w:val="FiveGoals"/>
        <w:tblW w:w="0" w:type="auto"/>
        <w:tblLook w:val="04A0"/>
      </w:tblPr>
      <w:tblGrid>
        <w:gridCol w:w="1384"/>
        <w:gridCol w:w="1737"/>
        <w:gridCol w:w="1757"/>
        <w:gridCol w:w="1757"/>
        <w:gridCol w:w="1757"/>
        <w:gridCol w:w="1757"/>
        <w:gridCol w:w="1757"/>
      </w:tblGrid>
      <w:tr w:rsidR="00177BD4" w:rsidRPr="009A500C" w:rsidTr="00177BD4">
        <w:trPr>
          <w:cnfStyle w:val="100000000000"/>
          <w:trHeight w:val="340"/>
        </w:trPr>
        <w:tc>
          <w:tcPr>
            <w:cnfStyle w:val="001000000000"/>
            <w:tcW w:w="1384" w:type="dxa"/>
            <w:vAlign w:val="center"/>
          </w:tcPr>
          <w:p w:rsidR="00177BD4" w:rsidRPr="00F36C7C" w:rsidRDefault="00177BD4" w:rsidP="00177BD4">
            <w:pPr>
              <w:pStyle w:val="MoEBodyText"/>
              <w:spacing w:before="60" w:after="60" w:line="240" w:lineRule="auto"/>
              <w:jc w:val="center"/>
              <w:rPr>
                <w:rFonts w:eastAsia="Times New Roman" w:cs="Arial"/>
              </w:rPr>
            </w:pPr>
          </w:p>
        </w:tc>
        <w:tc>
          <w:tcPr>
            <w:tcW w:w="1737" w:type="dxa"/>
            <w:vAlign w:val="center"/>
          </w:tcPr>
          <w:p w:rsidR="00177BD4" w:rsidRPr="00F10999" w:rsidRDefault="00177BD4" w:rsidP="00177BD4">
            <w:pPr>
              <w:pStyle w:val="MoEBodyText"/>
              <w:spacing w:before="60" w:after="60" w:line="240" w:lineRule="auto"/>
              <w:jc w:val="center"/>
              <w:cnfStyle w:val="100000000000"/>
              <w:rPr>
                <w:rFonts w:eastAsia="Times New Roman" w:cs="Arial"/>
                <w:sz w:val="22"/>
                <w:szCs w:val="22"/>
              </w:rPr>
            </w:pPr>
            <w:r w:rsidRPr="00F10999">
              <w:rPr>
                <w:rFonts w:eastAsia="Times New Roman" w:cs="Arial"/>
                <w:sz w:val="22"/>
                <w:szCs w:val="22"/>
              </w:rPr>
              <w:t>2011</w:t>
            </w:r>
          </w:p>
        </w:tc>
        <w:tc>
          <w:tcPr>
            <w:tcW w:w="1757" w:type="dxa"/>
            <w:vAlign w:val="center"/>
          </w:tcPr>
          <w:p w:rsidR="00177BD4" w:rsidRPr="00F10999" w:rsidRDefault="00177BD4" w:rsidP="00177BD4">
            <w:pPr>
              <w:pStyle w:val="MoEBodyText"/>
              <w:spacing w:before="60" w:after="60" w:line="240" w:lineRule="auto"/>
              <w:jc w:val="center"/>
              <w:cnfStyle w:val="100000000000"/>
              <w:rPr>
                <w:rFonts w:eastAsia="Times New Roman" w:cs="Arial"/>
                <w:sz w:val="22"/>
                <w:szCs w:val="22"/>
              </w:rPr>
            </w:pPr>
            <w:r w:rsidRPr="00F10999">
              <w:rPr>
                <w:rFonts w:eastAsia="Times New Roman" w:cs="Arial"/>
                <w:sz w:val="22"/>
                <w:szCs w:val="22"/>
              </w:rPr>
              <w:t>2012</w:t>
            </w:r>
          </w:p>
        </w:tc>
        <w:tc>
          <w:tcPr>
            <w:tcW w:w="1757" w:type="dxa"/>
            <w:vAlign w:val="center"/>
          </w:tcPr>
          <w:p w:rsidR="00177BD4" w:rsidRPr="00F10999" w:rsidRDefault="00177BD4" w:rsidP="00177BD4">
            <w:pPr>
              <w:pStyle w:val="MoEBodyText"/>
              <w:spacing w:before="60" w:after="60" w:line="240" w:lineRule="auto"/>
              <w:jc w:val="center"/>
              <w:cnfStyle w:val="100000000000"/>
              <w:rPr>
                <w:rFonts w:eastAsia="Times New Roman" w:cs="Arial"/>
                <w:sz w:val="22"/>
                <w:szCs w:val="22"/>
              </w:rPr>
            </w:pPr>
            <w:r w:rsidRPr="00F10999">
              <w:rPr>
                <w:rFonts w:eastAsia="Times New Roman" w:cs="Arial"/>
                <w:sz w:val="22"/>
                <w:szCs w:val="22"/>
              </w:rPr>
              <w:t>2013</w:t>
            </w:r>
          </w:p>
        </w:tc>
        <w:tc>
          <w:tcPr>
            <w:tcW w:w="1757" w:type="dxa"/>
            <w:vAlign w:val="center"/>
          </w:tcPr>
          <w:p w:rsidR="00177BD4" w:rsidRPr="00F10999" w:rsidRDefault="00177BD4" w:rsidP="00177BD4">
            <w:pPr>
              <w:pStyle w:val="MoEBodyText"/>
              <w:spacing w:before="60" w:after="60" w:line="240" w:lineRule="auto"/>
              <w:jc w:val="center"/>
              <w:cnfStyle w:val="100000000000"/>
              <w:rPr>
                <w:rFonts w:eastAsia="Times New Roman" w:cs="Arial"/>
                <w:sz w:val="22"/>
                <w:szCs w:val="22"/>
              </w:rPr>
            </w:pPr>
            <w:r w:rsidRPr="00F10999">
              <w:rPr>
                <w:rFonts w:eastAsia="Times New Roman" w:cs="Arial"/>
                <w:sz w:val="22"/>
                <w:szCs w:val="22"/>
              </w:rPr>
              <w:t>2014</w:t>
            </w:r>
          </w:p>
        </w:tc>
        <w:tc>
          <w:tcPr>
            <w:tcW w:w="1757" w:type="dxa"/>
            <w:vAlign w:val="center"/>
          </w:tcPr>
          <w:p w:rsidR="00177BD4" w:rsidRPr="00F10999" w:rsidRDefault="00177BD4" w:rsidP="00177BD4">
            <w:pPr>
              <w:pStyle w:val="MoEBodyText"/>
              <w:spacing w:before="60" w:after="60" w:line="240" w:lineRule="auto"/>
              <w:jc w:val="center"/>
              <w:cnfStyle w:val="100000000000"/>
              <w:rPr>
                <w:rFonts w:eastAsia="Times New Roman" w:cs="Arial"/>
                <w:sz w:val="22"/>
                <w:szCs w:val="22"/>
              </w:rPr>
            </w:pPr>
            <w:r w:rsidRPr="00F10999">
              <w:rPr>
                <w:rFonts w:eastAsia="Times New Roman" w:cs="Arial"/>
                <w:sz w:val="22"/>
                <w:szCs w:val="22"/>
              </w:rPr>
              <w:t>2015</w:t>
            </w:r>
          </w:p>
        </w:tc>
        <w:tc>
          <w:tcPr>
            <w:tcW w:w="1757" w:type="dxa"/>
            <w:vAlign w:val="center"/>
          </w:tcPr>
          <w:p w:rsidR="00177BD4" w:rsidRPr="00F10999" w:rsidRDefault="00177BD4" w:rsidP="00177BD4">
            <w:pPr>
              <w:pStyle w:val="MoEBodyText"/>
              <w:spacing w:before="60" w:after="60" w:line="240" w:lineRule="auto"/>
              <w:jc w:val="center"/>
              <w:cnfStyle w:val="100000000000"/>
              <w:rPr>
                <w:rFonts w:eastAsia="Times New Roman" w:cs="Arial"/>
                <w:sz w:val="22"/>
                <w:szCs w:val="22"/>
              </w:rPr>
            </w:pPr>
            <w:r w:rsidRPr="00F10999">
              <w:rPr>
                <w:rFonts w:eastAsia="Times New Roman" w:cs="Arial"/>
                <w:sz w:val="22"/>
                <w:szCs w:val="22"/>
              </w:rPr>
              <w:t>2016</w:t>
            </w:r>
          </w:p>
        </w:tc>
      </w:tr>
      <w:tr w:rsidR="00177BD4" w:rsidRPr="008D178C" w:rsidTr="00177BD4">
        <w:tc>
          <w:tcPr>
            <w:cnfStyle w:val="001000000000"/>
            <w:tcW w:w="1384"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Years 1-6</w:t>
            </w:r>
          </w:p>
        </w:tc>
        <w:tc>
          <w:tcPr>
            <w:tcW w:w="1737" w:type="dxa"/>
            <w:vAlign w:val="center"/>
          </w:tcPr>
          <w:p w:rsidR="00177BD4" w:rsidRPr="003D5672" w:rsidRDefault="00177BD4" w:rsidP="00177BD4">
            <w:pPr>
              <w:pStyle w:val="TRNormal"/>
              <w:ind w:left="0" w:firstLine="0"/>
              <w:jc w:val="right"/>
              <w:cnfStyle w:val="000000000000"/>
            </w:pPr>
            <w:r w:rsidRPr="003D5672">
              <w:t>$1,217.65</w:t>
            </w:r>
          </w:p>
        </w:tc>
        <w:tc>
          <w:tcPr>
            <w:tcW w:w="1757" w:type="dxa"/>
            <w:vAlign w:val="center"/>
          </w:tcPr>
          <w:p w:rsidR="00177BD4" w:rsidRPr="003D5672" w:rsidRDefault="00177BD4" w:rsidP="00177BD4">
            <w:pPr>
              <w:pStyle w:val="TRNormal"/>
              <w:ind w:left="0" w:firstLine="0"/>
              <w:jc w:val="right"/>
              <w:cnfStyle w:val="000000000000"/>
            </w:pPr>
            <w:r w:rsidRPr="003D5672">
              <w:t>$1,157.26</w:t>
            </w:r>
          </w:p>
        </w:tc>
        <w:tc>
          <w:tcPr>
            <w:tcW w:w="1757" w:type="dxa"/>
            <w:vAlign w:val="center"/>
          </w:tcPr>
          <w:p w:rsidR="00177BD4" w:rsidRPr="003D5672" w:rsidRDefault="00177BD4" w:rsidP="00177BD4">
            <w:pPr>
              <w:pStyle w:val="TRNormal"/>
              <w:ind w:left="0" w:firstLine="0"/>
              <w:jc w:val="right"/>
              <w:cnfStyle w:val="000000000000"/>
            </w:pPr>
            <w:r w:rsidRPr="003D5672">
              <w:t>$1,164.94</w:t>
            </w:r>
          </w:p>
        </w:tc>
        <w:tc>
          <w:tcPr>
            <w:tcW w:w="1757" w:type="dxa"/>
            <w:vAlign w:val="center"/>
          </w:tcPr>
          <w:p w:rsidR="00177BD4" w:rsidRPr="003D5672" w:rsidRDefault="00177BD4" w:rsidP="00177BD4">
            <w:pPr>
              <w:pStyle w:val="TRNormal"/>
              <w:ind w:left="0" w:firstLine="0"/>
              <w:jc w:val="right"/>
              <w:cnfStyle w:val="000000000000"/>
            </w:pPr>
            <w:r w:rsidRPr="003D5672">
              <w:t>$1,188.86</w:t>
            </w:r>
          </w:p>
        </w:tc>
        <w:tc>
          <w:tcPr>
            <w:tcW w:w="1757" w:type="dxa"/>
            <w:vAlign w:val="center"/>
          </w:tcPr>
          <w:p w:rsidR="00177BD4" w:rsidRPr="003D5672" w:rsidRDefault="00177BD4" w:rsidP="00177BD4">
            <w:pPr>
              <w:pStyle w:val="TRNormal"/>
              <w:ind w:left="0" w:firstLine="0"/>
              <w:jc w:val="right"/>
              <w:cnfStyle w:val="000000000000"/>
              <w:rPr>
                <w:rFonts w:cs="Arial"/>
              </w:rPr>
            </w:pPr>
            <w:r w:rsidRPr="003D5672">
              <w:t>$1,182.71</w:t>
            </w:r>
          </w:p>
        </w:tc>
        <w:tc>
          <w:tcPr>
            <w:tcW w:w="1757" w:type="dxa"/>
            <w:vAlign w:val="center"/>
          </w:tcPr>
          <w:p w:rsidR="00177BD4" w:rsidRPr="008D178C" w:rsidRDefault="00177BD4" w:rsidP="00177BD4">
            <w:pPr>
              <w:pStyle w:val="TRNormal"/>
              <w:ind w:left="0" w:firstLine="0"/>
              <w:jc w:val="right"/>
              <w:cnfStyle w:val="000000000000"/>
              <w:rPr>
                <w:rFonts w:cs="Arial"/>
              </w:rPr>
            </w:pPr>
            <w:r w:rsidRPr="008D178C">
              <w:rPr>
                <w:rFonts w:cs="Arial"/>
              </w:rPr>
              <w:t>$1,180.91</w:t>
            </w:r>
          </w:p>
        </w:tc>
      </w:tr>
      <w:tr w:rsidR="00177BD4" w:rsidRPr="008D178C" w:rsidTr="00177BD4">
        <w:tc>
          <w:tcPr>
            <w:cnfStyle w:val="001000000000"/>
            <w:tcW w:w="1384"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Years 7-8</w:t>
            </w:r>
          </w:p>
        </w:tc>
        <w:tc>
          <w:tcPr>
            <w:tcW w:w="1737" w:type="dxa"/>
            <w:vAlign w:val="center"/>
          </w:tcPr>
          <w:p w:rsidR="00177BD4" w:rsidRPr="003D5672" w:rsidRDefault="00177BD4" w:rsidP="00177BD4">
            <w:pPr>
              <w:pStyle w:val="TRNormal"/>
              <w:ind w:left="0" w:firstLine="0"/>
              <w:jc w:val="right"/>
              <w:cnfStyle w:val="000000000000"/>
            </w:pPr>
            <w:r w:rsidRPr="003D5672">
              <w:t>$1,333.39</w:t>
            </w:r>
          </w:p>
        </w:tc>
        <w:tc>
          <w:tcPr>
            <w:tcW w:w="1757" w:type="dxa"/>
            <w:vAlign w:val="center"/>
          </w:tcPr>
          <w:p w:rsidR="00177BD4" w:rsidRPr="003D5672" w:rsidRDefault="00177BD4" w:rsidP="00177BD4">
            <w:pPr>
              <w:pStyle w:val="TRNormal"/>
              <w:ind w:left="0" w:firstLine="0"/>
              <w:jc w:val="right"/>
              <w:cnfStyle w:val="000000000000"/>
            </w:pPr>
            <w:r w:rsidRPr="003D5672">
              <w:t>$1,267.26</w:t>
            </w:r>
          </w:p>
        </w:tc>
        <w:tc>
          <w:tcPr>
            <w:tcW w:w="1757" w:type="dxa"/>
            <w:vAlign w:val="center"/>
          </w:tcPr>
          <w:p w:rsidR="00177BD4" w:rsidRPr="003D5672" w:rsidRDefault="00177BD4" w:rsidP="00177BD4">
            <w:pPr>
              <w:pStyle w:val="TRNormal"/>
              <w:ind w:left="0" w:firstLine="0"/>
              <w:jc w:val="right"/>
              <w:cnfStyle w:val="000000000000"/>
            </w:pPr>
            <w:r w:rsidRPr="003D5672">
              <w:t>$1,275.67</w:t>
            </w:r>
          </w:p>
        </w:tc>
        <w:tc>
          <w:tcPr>
            <w:tcW w:w="1757" w:type="dxa"/>
            <w:vAlign w:val="center"/>
          </w:tcPr>
          <w:p w:rsidR="00177BD4" w:rsidRPr="003D5672" w:rsidRDefault="00177BD4" w:rsidP="00177BD4">
            <w:pPr>
              <w:pStyle w:val="TRNormal"/>
              <w:ind w:left="0" w:firstLine="0"/>
              <w:jc w:val="right"/>
              <w:cnfStyle w:val="000000000000"/>
            </w:pPr>
            <w:r w:rsidRPr="003D5672">
              <w:t>$1,301.86</w:t>
            </w:r>
          </w:p>
        </w:tc>
        <w:tc>
          <w:tcPr>
            <w:tcW w:w="1757" w:type="dxa"/>
            <w:vAlign w:val="center"/>
          </w:tcPr>
          <w:p w:rsidR="00177BD4" w:rsidRPr="003D5672" w:rsidRDefault="00177BD4" w:rsidP="00177BD4">
            <w:pPr>
              <w:pStyle w:val="TRNormal"/>
              <w:ind w:left="0" w:firstLine="0"/>
              <w:jc w:val="right"/>
              <w:cnfStyle w:val="000000000000"/>
              <w:rPr>
                <w:rFonts w:cs="Arial"/>
              </w:rPr>
            </w:pPr>
            <w:r w:rsidRPr="003D5672">
              <w:t>$1,294.54</w:t>
            </w:r>
          </w:p>
        </w:tc>
        <w:tc>
          <w:tcPr>
            <w:tcW w:w="1757" w:type="dxa"/>
            <w:vAlign w:val="center"/>
          </w:tcPr>
          <w:p w:rsidR="00177BD4" w:rsidRPr="008D178C" w:rsidRDefault="00177BD4" w:rsidP="00177BD4">
            <w:pPr>
              <w:pStyle w:val="TRNormal"/>
              <w:ind w:left="0" w:firstLine="0"/>
              <w:jc w:val="right"/>
              <w:cnfStyle w:val="000000000000"/>
              <w:rPr>
                <w:rFonts w:cs="Arial"/>
              </w:rPr>
            </w:pPr>
            <w:r w:rsidRPr="008D178C">
              <w:rPr>
                <w:rFonts w:cs="Arial"/>
              </w:rPr>
              <w:t>$1,293.16</w:t>
            </w:r>
          </w:p>
        </w:tc>
      </w:tr>
      <w:tr w:rsidR="00177BD4" w:rsidRPr="008D178C" w:rsidTr="00177BD4">
        <w:tc>
          <w:tcPr>
            <w:cnfStyle w:val="001000000000"/>
            <w:tcW w:w="1384" w:type="dxa"/>
            <w:vAlign w:val="center"/>
          </w:tcPr>
          <w:p w:rsidR="00177BD4" w:rsidRPr="00F10D80" w:rsidRDefault="00177BD4" w:rsidP="00177BD4">
            <w:pPr>
              <w:pStyle w:val="TRNormal"/>
              <w:spacing w:before="0" w:after="0"/>
              <w:ind w:left="0" w:firstLine="0"/>
              <w:rPr>
                <w:rFonts w:cs="Arial"/>
                <w:sz w:val="20"/>
              </w:rPr>
            </w:pPr>
            <w:r w:rsidRPr="00F10D80">
              <w:rPr>
                <w:rFonts w:cs="Arial"/>
                <w:sz w:val="20"/>
              </w:rPr>
              <w:t>Years 9-10</w:t>
            </w:r>
          </w:p>
        </w:tc>
        <w:tc>
          <w:tcPr>
            <w:tcW w:w="1737" w:type="dxa"/>
            <w:vAlign w:val="center"/>
          </w:tcPr>
          <w:p w:rsidR="00177BD4" w:rsidRPr="003D5672" w:rsidRDefault="00177BD4" w:rsidP="00177BD4">
            <w:pPr>
              <w:pStyle w:val="TRNormal"/>
              <w:ind w:left="0" w:firstLine="0"/>
              <w:jc w:val="right"/>
              <w:cnfStyle w:val="000000000000"/>
            </w:pPr>
            <w:r w:rsidRPr="003D5672">
              <w:t>$1,706.45</w:t>
            </w:r>
          </w:p>
        </w:tc>
        <w:tc>
          <w:tcPr>
            <w:tcW w:w="1757" w:type="dxa"/>
            <w:vAlign w:val="center"/>
          </w:tcPr>
          <w:p w:rsidR="00177BD4" w:rsidRPr="003D5672" w:rsidRDefault="00177BD4" w:rsidP="00177BD4">
            <w:pPr>
              <w:pStyle w:val="TRNormal"/>
              <w:ind w:left="0" w:firstLine="0"/>
              <w:jc w:val="right"/>
              <w:cnfStyle w:val="000000000000"/>
            </w:pPr>
            <w:r w:rsidRPr="003D5672">
              <w:t>$1,621.82</w:t>
            </w:r>
          </w:p>
        </w:tc>
        <w:tc>
          <w:tcPr>
            <w:tcW w:w="1757" w:type="dxa"/>
            <w:vAlign w:val="center"/>
          </w:tcPr>
          <w:p w:rsidR="00177BD4" w:rsidRPr="003D5672" w:rsidRDefault="00177BD4" w:rsidP="00177BD4">
            <w:pPr>
              <w:pStyle w:val="TRNormal"/>
              <w:ind w:left="0" w:firstLine="0"/>
              <w:jc w:val="right"/>
              <w:cnfStyle w:val="000000000000"/>
            </w:pPr>
            <w:r w:rsidRPr="003D5672">
              <w:t>$1,632.59</w:t>
            </w:r>
          </w:p>
        </w:tc>
        <w:tc>
          <w:tcPr>
            <w:tcW w:w="1757" w:type="dxa"/>
            <w:vAlign w:val="center"/>
          </w:tcPr>
          <w:p w:rsidR="00177BD4" w:rsidRPr="003D5672" w:rsidRDefault="00177BD4" w:rsidP="00177BD4">
            <w:pPr>
              <w:pStyle w:val="TRNormal"/>
              <w:ind w:left="0" w:firstLine="0"/>
              <w:jc w:val="right"/>
              <w:cnfStyle w:val="000000000000"/>
            </w:pPr>
            <w:r w:rsidRPr="003D5672">
              <w:t>$1,666.11</w:t>
            </w:r>
          </w:p>
        </w:tc>
        <w:tc>
          <w:tcPr>
            <w:tcW w:w="1757" w:type="dxa"/>
            <w:vAlign w:val="center"/>
          </w:tcPr>
          <w:p w:rsidR="00177BD4" w:rsidRPr="003D5672" w:rsidRDefault="00177BD4" w:rsidP="00177BD4">
            <w:pPr>
              <w:pStyle w:val="TRNormal"/>
              <w:ind w:left="0" w:firstLine="0"/>
              <w:jc w:val="right"/>
              <w:cnfStyle w:val="000000000000"/>
              <w:rPr>
                <w:rFonts w:cs="Arial"/>
              </w:rPr>
            </w:pPr>
            <w:r w:rsidRPr="003D5672">
              <w:t>$1,656.74</w:t>
            </w:r>
          </w:p>
        </w:tc>
        <w:tc>
          <w:tcPr>
            <w:tcW w:w="1757" w:type="dxa"/>
            <w:vAlign w:val="center"/>
          </w:tcPr>
          <w:p w:rsidR="00177BD4" w:rsidRPr="008D178C" w:rsidRDefault="00177BD4" w:rsidP="00177BD4">
            <w:pPr>
              <w:pStyle w:val="TRNormal"/>
              <w:ind w:left="0" w:firstLine="0"/>
              <w:jc w:val="right"/>
              <w:cnfStyle w:val="000000000000"/>
              <w:rPr>
                <w:rFonts w:cs="Arial"/>
              </w:rPr>
            </w:pPr>
            <w:r w:rsidRPr="008D178C">
              <w:rPr>
                <w:rFonts w:cs="Arial"/>
              </w:rPr>
              <w:t>$1,654.97</w:t>
            </w:r>
          </w:p>
        </w:tc>
      </w:tr>
      <w:tr w:rsidR="00177BD4" w:rsidRPr="008D178C" w:rsidTr="00177BD4">
        <w:tc>
          <w:tcPr>
            <w:cnfStyle w:val="001000000000"/>
            <w:tcW w:w="1384" w:type="dxa"/>
            <w:vAlign w:val="center"/>
          </w:tcPr>
          <w:p w:rsidR="00177BD4" w:rsidRPr="00F10D80" w:rsidRDefault="00177BD4" w:rsidP="00177BD4">
            <w:pPr>
              <w:pStyle w:val="TRNormal"/>
              <w:spacing w:before="0" w:after="0"/>
              <w:ind w:left="0" w:firstLine="0"/>
              <w:rPr>
                <w:rFonts w:cs="Arial"/>
                <w:sz w:val="20"/>
              </w:rPr>
            </w:pPr>
            <w:r>
              <w:rPr>
                <w:rFonts w:cs="Arial"/>
                <w:sz w:val="20"/>
              </w:rPr>
              <w:t>Years 11</w:t>
            </w:r>
            <w:r w:rsidRPr="00F10D80">
              <w:rPr>
                <w:rFonts w:cs="Arial"/>
                <w:sz w:val="20"/>
              </w:rPr>
              <w:t>-13</w:t>
            </w:r>
          </w:p>
        </w:tc>
        <w:tc>
          <w:tcPr>
            <w:tcW w:w="1737" w:type="dxa"/>
            <w:vAlign w:val="center"/>
          </w:tcPr>
          <w:p w:rsidR="00177BD4" w:rsidRPr="003D5672" w:rsidRDefault="00177BD4" w:rsidP="00177BD4">
            <w:pPr>
              <w:pStyle w:val="TRNormal"/>
              <w:ind w:left="0" w:firstLine="0"/>
              <w:jc w:val="right"/>
              <w:cnfStyle w:val="000000000000"/>
            </w:pPr>
            <w:r w:rsidRPr="003D5672">
              <w:t>$2,591.68</w:t>
            </w:r>
          </w:p>
        </w:tc>
        <w:tc>
          <w:tcPr>
            <w:tcW w:w="1757" w:type="dxa"/>
            <w:vAlign w:val="center"/>
          </w:tcPr>
          <w:p w:rsidR="00177BD4" w:rsidRPr="003D5672" w:rsidRDefault="00177BD4" w:rsidP="00177BD4">
            <w:pPr>
              <w:pStyle w:val="TRNormal"/>
              <w:ind w:left="0" w:firstLine="0"/>
              <w:jc w:val="right"/>
              <w:cnfStyle w:val="000000000000"/>
            </w:pPr>
            <w:r w:rsidRPr="003D5672">
              <w:t>$2,463.14</w:t>
            </w:r>
          </w:p>
        </w:tc>
        <w:tc>
          <w:tcPr>
            <w:tcW w:w="1757" w:type="dxa"/>
            <w:vAlign w:val="center"/>
          </w:tcPr>
          <w:p w:rsidR="00177BD4" w:rsidRPr="003D5672" w:rsidRDefault="00177BD4" w:rsidP="00177BD4">
            <w:pPr>
              <w:pStyle w:val="TRNormal"/>
              <w:ind w:left="0" w:firstLine="0"/>
              <w:jc w:val="right"/>
              <w:cnfStyle w:val="000000000000"/>
            </w:pPr>
            <w:r w:rsidRPr="003D5672">
              <w:t>$2,479.49</w:t>
            </w:r>
          </w:p>
        </w:tc>
        <w:tc>
          <w:tcPr>
            <w:tcW w:w="1757" w:type="dxa"/>
            <w:vAlign w:val="center"/>
          </w:tcPr>
          <w:p w:rsidR="00177BD4" w:rsidRPr="003D5672" w:rsidRDefault="00177BD4" w:rsidP="00177BD4">
            <w:pPr>
              <w:pStyle w:val="TRNormal"/>
              <w:ind w:left="0" w:firstLine="0"/>
              <w:jc w:val="right"/>
              <w:cnfStyle w:val="000000000000"/>
            </w:pPr>
            <w:r w:rsidRPr="003D5672">
              <w:t>$2,530.40</w:t>
            </w:r>
          </w:p>
        </w:tc>
        <w:tc>
          <w:tcPr>
            <w:tcW w:w="1757" w:type="dxa"/>
            <w:vAlign w:val="center"/>
          </w:tcPr>
          <w:p w:rsidR="00177BD4" w:rsidRPr="003D5672" w:rsidRDefault="00177BD4" w:rsidP="00177BD4">
            <w:pPr>
              <w:pStyle w:val="TRNormal"/>
              <w:ind w:left="0" w:firstLine="0"/>
              <w:jc w:val="right"/>
              <w:cnfStyle w:val="000000000000"/>
              <w:rPr>
                <w:rFonts w:cs="Arial"/>
              </w:rPr>
            </w:pPr>
            <w:r w:rsidRPr="003D5672">
              <w:t>$2,516.17</w:t>
            </w:r>
          </w:p>
        </w:tc>
        <w:tc>
          <w:tcPr>
            <w:tcW w:w="1757" w:type="dxa"/>
            <w:vAlign w:val="center"/>
          </w:tcPr>
          <w:p w:rsidR="00177BD4" w:rsidRPr="008D178C" w:rsidRDefault="00177BD4" w:rsidP="00177BD4">
            <w:pPr>
              <w:pStyle w:val="TRNormal"/>
              <w:ind w:left="0" w:firstLine="0"/>
              <w:jc w:val="right"/>
              <w:cnfStyle w:val="000000000000"/>
              <w:rPr>
                <w:rFonts w:cs="Arial"/>
              </w:rPr>
            </w:pPr>
            <w:r w:rsidRPr="008D178C">
              <w:rPr>
                <w:rFonts w:cs="Arial"/>
              </w:rPr>
              <w:t>$2,513.48</w:t>
            </w:r>
          </w:p>
        </w:tc>
      </w:tr>
    </w:tbl>
    <w:p w:rsidR="00314F79" w:rsidRPr="00C002BE" w:rsidRDefault="00314F79" w:rsidP="00CE3C0A">
      <w:pPr>
        <w:pStyle w:val="ListParagraph"/>
        <w:ind w:left="0"/>
        <w:jc w:val="both"/>
        <w:rPr>
          <w:rFonts w:ascii="Arial" w:hAnsi="Arial" w:cs="Arial"/>
          <w:sz w:val="22"/>
          <w:szCs w:val="22"/>
        </w:rPr>
      </w:pPr>
    </w:p>
    <w:sectPr w:rsidR="00314F79" w:rsidRPr="00C002BE" w:rsidSect="00F65F1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FB" w:rsidRDefault="009D34FB" w:rsidP="00163B79">
      <w:r>
        <w:separator/>
      </w:r>
    </w:p>
  </w:endnote>
  <w:endnote w:type="continuationSeparator" w:id="0">
    <w:p w:rsidR="009D34FB" w:rsidRDefault="009D34FB" w:rsidP="00163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68649240"/>
      <w:docPartObj>
        <w:docPartGallery w:val="Page Numbers (Bottom of Page)"/>
        <w:docPartUnique/>
      </w:docPartObj>
    </w:sdtPr>
    <w:sdtContent>
      <w:p w:rsidR="009D34FB" w:rsidRPr="00A47C5A" w:rsidRDefault="000D138D">
        <w:pPr>
          <w:pStyle w:val="Footer"/>
          <w:rPr>
            <w:sz w:val="20"/>
          </w:rPr>
        </w:pPr>
        <w:r>
          <w:rPr>
            <w:sz w:val="20"/>
          </w:rPr>
          <w:t>24</w:t>
        </w:r>
        <w:r w:rsidR="009D34FB">
          <w:rPr>
            <w:sz w:val="20"/>
          </w:rPr>
          <w:t>/06</w:t>
        </w:r>
        <w:r w:rsidR="009D34FB" w:rsidRPr="00393DE7">
          <w:rPr>
            <w:sz w:val="20"/>
          </w:rPr>
          <w:t>/</w:t>
        </w:r>
        <w:r w:rsidR="0011650A">
          <w:rPr>
            <w:sz w:val="20"/>
          </w:rPr>
          <w:t>20</w:t>
        </w:r>
        <w:r w:rsidR="009D34FB" w:rsidRPr="00393DE7">
          <w:rPr>
            <w:sz w:val="20"/>
          </w:rPr>
          <w:t>16</w:t>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9D34FB">
          <w:rPr>
            <w:sz w:val="20"/>
          </w:rPr>
          <w:tab/>
        </w:r>
        <w:r w:rsidR="00697DC9" w:rsidRPr="00393DE7">
          <w:rPr>
            <w:sz w:val="20"/>
          </w:rPr>
          <w:fldChar w:fldCharType="begin"/>
        </w:r>
        <w:r w:rsidR="009D34FB" w:rsidRPr="00393DE7">
          <w:rPr>
            <w:sz w:val="20"/>
          </w:rPr>
          <w:instrText xml:space="preserve"> PAGE   \* MERGEFORMAT </w:instrText>
        </w:r>
        <w:r w:rsidR="00697DC9" w:rsidRPr="00393DE7">
          <w:rPr>
            <w:sz w:val="20"/>
          </w:rPr>
          <w:fldChar w:fldCharType="separate"/>
        </w:r>
        <w:r>
          <w:rPr>
            <w:noProof/>
            <w:sz w:val="20"/>
          </w:rPr>
          <w:t>8</w:t>
        </w:r>
        <w:r w:rsidR="00697DC9" w:rsidRPr="00393DE7">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FB" w:rsidRDefault="009D34FB" w:rsidP="00163B79">
      <w:r>
        <w:separator/>
      </w:r>
    </w:p>
  </w:footnote>
  <w:footnote w:type="continuationSeparator" w:id="0">
    <w:p w:rsidR="009D34FB" w:rsidRDefault="009D34FB" w:rsidP="00163B79">
      <w:r>
        <w:continuationSeparator/>
      </w:r>
    </w:p>
  </w:footnote>
  <w:footnote w:id="1">
    <w:p w:rsidR="009D34FB" w:rsidRPr="00222E25" w:rsidRDefault="009D34FB">
      <w:pPr>
        <w:pStyle w:val="FootnoteText"/>
        <w:rPr>
          <w:lang w:val="en-NZ"/>
        </w:rPr>
      </w:pPr>
      <w:r>
        <w:rPr>
          <w:rStyle w:val="FootnoteReference"/>
        </w:rPr>
        <w:footnoteRef/>
      </w:r>
      <w:r>
        <w:t xml:space="preserve"> </w:t>
      </w:r>
      <w:proofErr w:type="gramStart"/>
      <w:r w:rsidRPr="00222E25">
        <w:rPr>
          <w:rFonts w:ascii="Arial" w:hAnsi="Arial" w:cs="Arial"/>
          <w:sz w:val="18"/>
          <w:szCs w:val="18"/>
        </w:rPr>
        <w:t>With the exception of Dilworth</w:t>
      </w:r>
      <w:r>
        <w:rPr>
          <w:rFonts w:ascii="Arial" w:hAnsi="Arial" w:cs="Arial"/>
          <w:sz w:val="18"/>
          <w:szCs w:val="18"/>
        </w:rPr>
        <w:t>.</w:t>
      </w:r>
      <w:proofErr w:type="gramEnd"/>
    </w:p>
  </w:footnote>
  <w:footnote w:id="2">
    <w:p w:rsidR="009D34FB" w:rsidRPr="00CF13D0" w:rsidRDefault="009D34FB" w:rsidP="00527EF1">
      <w:pPr>
        <w:pStyle w:val="ListParagraph"/>
        <w:ind w:left="0"/>
        <w:jc w:val="both"/>
        <w:rPr>
          <w:rFonts w:ascii="Arial" w:eastAsiaTheme="minorHAnsi" w:hAnsi="Arial" w:cs="Arial"/>
          <w:sz w:val="18"/>
          <w:szCs w:val="18"/>
        </w:rPr>
      </w:pPr>
      <w:r w:rsidRPr="00CF13D0">
        <w:rPr>
          <w:rStyle w:val="FootnoteReference"/>
          <w:rFonts w:ascii="Arial" w:hAnsi="Arial" w:cs="Arial"/>
          <w:sz w:val="20"/>
          <w:szCs w:val="20"/>
        </w:rPr>
        <w:footnoteRef/>
      </w:r>
      <w:r w:rsidRPr="00CF13D0">
        <w:rPr>
          <w:rFonts w:ascii="Arial" w:hAnsi="Arial" w:cs="Arial"/>
          <w:sz w:val="20"/>
          <w:szCs w:val="20"/>
        </w:rPr>
        <w:t xml:space="preserve"> </w:t>
      </w:r>
      <w:r w:rsidRPr="00CF13D0">
        <w:rPr>
          <w:rFonts w:ascii="Arial" w:eastAsiaTheme="minorHAnsi" w:hAnsi="Arial" w:cs="Arial"/>
          <w:sz w:val="18"/>
          <w:szCs w:val="18"/>
        </w:rPr>
        <w:t xml:space="preserve">Private schools also receive funding for </w:t>
      </w:r>
      <w:proofErr w:type="spellStart"/>
      <w:r w:rsidRPr="00CF13D0">
        <w:rPr>
          <w:rFonts w:ascii="Arial" w:eastAsiaTheme="minorHAnsi" w:hAnsi="Arial" w:cs="Arial"/>
          <w:sz w:val="18"/>
          <w:szCs w:val="18"/>
        </w:rPr>
        <w:t>Kiwisport</w:t>
      </w:r>
      <w:proofErr w:type="spellEnd"/>
      <w:r w:rsidRPr="00CF13D0">
        <w:rPr>
          <w:rFonts w:ascii="Arial" w:eastAsiaTheme="minorHAnsi" w:hAnsi="Arial" w:cs="Arial"/>
          <w:sz w:val="18"/>
          <w:szCs w:val="18"/>
        </w:rPr>
        <w:t>, the NCEA grant, as well as Māori Language Programme Funding for eligible students. High Special Needs students are also eligible for ORS resourcing. Private schools can also access Te Kura courses without charge.</w:t>
      </w:r>
    </w:p>
  </w:footnote>
  <w:footnote w:id="3">
    <w:p w:rsidR="009D34FB" w:rsidRPr="00CF13D0" w:rsidRDefault="009D34FB" w:rsidP="004E6D11">
      <w:pPr>
        <w:pStyle w:val="FootnoteText"/>
        <w:rPr>
          <w:rFonts w:ascii="Arial" w:hAnsi="Arial" w:cs="Arial"/>
          <w:sz w:val="18"/>
          <w:szCs w:val="18"/>
        </w:rPr>
      </w:pPr>
      <w:r w:rsidRPr="00CF13D0">
        <w:rPr>
          <w:rStyle w:val="FootnoteReference"/>
          <w:rFonts w:ascii="Arial" w:hAnsi="Arial" w:cs="Arial"/>
          <w:sz w:val="18"/>
          <w:szCs w:val="18"/>
        </w:rPr>
        <w:footnoteRef/>
      </w:r>
      <w:r w:rsidRPr="00CF13D0">
        <w:rPr>
          <w:rFonts w:ascii="Arial" w:hAnsi="Arial" w:cs="Arial"/>
          <w:sz w:val="18"/>
          <w:szCs w:val="18"/>
        </w:rPr>
        <w:t xml:space="preserve"> Review of School Funding, Final Report (</w:t>
      </w:r>
      <w:proofErr w:type="spellStart"/>
      <w:r w:rsidRPr="00CF13D0">
        <w:rPr>
          <w:rFonts w:ascii="Arial" w:hAnsi="Arial" w:cs="Arial"/>
          <w:sz w:val="18"/>
          <w:szCs w:val="18"/>
        </w:rPr>
        <w:t>Gonski</w:t>
      </w:r>
      <w:proofErr w:type="spellEnd"/>
      <w:r w:rsidRPr="00CF13D0">
        <w:rPr>
          <w:rFonts w:ascii="Arial" w:hAnsi="Arial" w:cs="Arial"/>
          <w:sz w:val="18"/>
          <w:szCs w:val="18"/>
        </w:rPr>
        <w:t xml:space="preserve"> Report), Australian Commonwealth Government, December 2011.</w:t>
      </w:r>
    </w:p>
  </w:footnote>
  <w:footnote w:id="4">
    <w:p w:rsidR="009D34FB" w:rsidRPr="00CF13D0" w:rsidRDefault="009D34FB">
      <w:pPr>
        <w:pStyle w:val="FootnoteText"/>
        <w:rPr>
          <w:rFonts w:ascii="Arial" w:hAnsi="Arial" w:cs="Arial"/>
          <w:lang w:val="en-NZ"/>
        </w:rPr>
      </w:pPr>
      <w:r w:rsidRPr="00CF13D0">
        <w:rPr>
          <w:rStyle w:val="FootnoteReference"/>
          <w:rFonts w:ascii="Arial" w:hAnsi="Arial" w:cs="Arial"/>
        </w:rPr>
        <w:footnoteRef/>
      </w:r>
      <w:r w:rsidRPr="00CF13D0">
        <w:rPr>
          <w:rFonts w:ascii="Arial" w:hAnsi="Arial" w:cs="Arial"/>
        </w:rPr>
        <w:t xml:space="preserve"> </w:t>
      </w:r>
      <w:proofErr w:type="gramStart"/>
      <w:r w:rsidRPr="000F03FD">
        <w:rPr>
          <w:rFonts w:ascii="Arial" w:hAnsi="Arial" w:cs="Arial"/>
          <w:sz w:val="18"/>
          <w:szCs w:val="18"/>
          <w:lang w:val="en-NZ"/>
        </w:rPr>
        <w:t>For one or both of 75% of the first five years of their life or 75% of the most recent five years.</w:t>
      </w:r>
      <w:proofErr w:type="gramEnd"/>
    </w:p>
  </w:footnote>
  <w:footnote w:id="5">
    <w:p w:rsidR="009D34FB" w:rsidRPr="00CF13D0" w:rsidRDefault="009D34FB" w:rsidP="006A7B35">
      <w:pPr>
        <w:pStyle w:val="FootnoteText"/>
        <w:rPr>
          <w:rFonts w:ascii="Arial" w:hAnsi="Arial" w:cs="Arial"/>
          <w:lang w:val="en-NZ"/>
        </w:rPr>
      </w:pPr>
      <w:r w:rsidRPr="00CF13D0">
        <w:rPr>
          <w:rStyle w:val="FootnoteReference"/>
          <w:rFonts w:ascii="Arial" w:hAnsi="Arial" w:cs="Arial"/>
        </w:rPr>
        <w:footnoteRef/>
      </w:r>
      <w:r w:rsidRPr="00CF13D0">
        <w:rPr>
          <w:rFonts w:ascii="Arial" w:hAnsi="Arial" w:cs="Arial"/>
        </w:rPr>
        <w:t xml:space="preserve"> </w:t>
      </w:r>
      <w:r w:rsidRPr="000F03FD">
        <w:rPr>
          <w:rFonts w:ascii="Arial" w:hAnsi="Arial" w:cs="Arial"/>
          <w:sz w:val="18"/>
          <w:szCs w:val="18"/>
          <w:lang w:val="en-NZ"/>
        </w:rPr>
        <w:t>The situation is materially different for students with special needs, as this is based on a clinical assessment.</w:t>
      </w:r>
    </w:p>
  </w:footnote>
  <w:footnote w:id="6">
    <w:p w:rsidR="009D34FB" w:rsidRPr="00CF13D0" w:rsidRDefault="009D34FB" w:rsidP="000C4300">
      <w:pPr>
        <w:pStyle w:val="FootnoteText"/>
        <w:jc w:val="both"/>
        <w:rPr>
          <w:rFonts w:ascii="Arial" w:hAnsi="Arial" w:cs="Arial"/>
          <w:lang w:val="en-NZ"/>
        </w:rPr>
      </w:pPr>
      <w:r w:rsidRPr="00CF13D0">
        <w:rPr>
          <w:rStyle w:val="FootnoteReference"/>
          <w:rFonts w:ascii="Arial" w:hAnsi="Arial" w:cs="Arial"/>
        </w:rPr>
        <w:footnoteRef/>
      </w:r>
      <w:r w:rsidRPr="00CF13D0">
        <w:rPr>
          <w:rFonts w:ascii="Arial" w:hAnsi="Arial" w:cs="Arial"/>
        </w:rPr>
        <w:t xml:space="preserve"> </w:t>
      </w:r>
      <w:r w:rsidRPr="000F03FD">
        <w:rPr>
          <w:rFonts w:ascii="Arial" w:hAnsi="Arial" w:cs="Arial"/>
          <w:sz w:val="18"/>
          <w:szCs w:val="18"/>
        </w:rPr>
        <w:t>Proposed changes to the funding model for state and state</w:t>
      </w:r>
      <w:r w:rsidR="009060AF">
        <w:rPr>
          <w:rFonts w:ascii="Arial" w:hAnsi="Arial" w:cs="Arial"/>
          <w:sz w:val="18"/>
          <w:szCs w:val="18"/>
        </w:rPr>
        <w:t>-</w:t>
      </w:r>
      <w:r w:rsidRPr="000F03FD">
        <w:rPr>
          <w:rFonts w:ascii="Arial" w:hAnsi="Arial" w:cs="Arial"/>
          <w:sz w:val="18"/>
          <w:szCs w:val="18"/>
        </w:rPr>
        <w:t>integrated schools means that the decile mechanism would not be available. Further the decile mechanis</w:t>
      </w:r>
      <w:r>
        <w:rPr>
          <w:rFonts w:ascii="Arial" w:hAnsi="Arial" w:cs="Arial"/>
          <w:sz w:val="18"/>
          <w:szCs w:val="18"/>
        </w:rPr>
        <w:t>m</w:t>
      </w:r>
      <w:r w:rsidRPr="000F03FD">
        <w:rPr>
          <w:rFonts w:ascii="Arial" w:hAnsi="Arial" w:cs="Arial"/>
          <w:sz w:val="18"/>
          <w:szCs w:val="18"/>
        </w:rPr>
        <w:t xml:space="preserve"> was not developed in order to assess capacity to pay. </w:t>
      </w:r>
      <w:r w:rsidRPr="000F03FD">
        <w:rPr>
          <w:rFonts w:ascii="Arial" w:hAnsi="Arial" w:cs="Arial"/>
          <w:sz w:val="18"/>
          <w:szCs w:val="18"/>
          <w:lang w:val="en-NZ"/>
        </w:rPr>
        <w:t xml:space="preserve">An option would be to develop an alternative mechanism using Census </w:t>
      </w:r>
      <w:proofErr w:type="spellStart"/>
      <w:r w:rsidRPr="000F03FD">
        <w:rPr>
          <w:rFonts w:ascii="Arial" w:hAnsi="Arial" w:cs="Arial"/>
          <w:sz w:val="18"/>
          <w:szCs w:val="18"/>
          <w:lang w:val="en-NZ"/>
        </w:rPr>
        <w:t>meshblock</w:t>
      </w:r>
      <w:proofErr w:type="spellEnd"/>
      <w:r w:rsidRPr="000F03FD">
        <w:rPr>
          <w:rFonts w:ascii="Arial" w:hAnsi="Arial" w:cs="Arial"/>
          <w:sz w:val="18"/>
          <w:szCs w:val="18"/>
          <w:lang w:val="en-NZ"/>
        </w:rPr>
        <w:t xml:space="preserve"> data as a proxy for the circumstance of individual students. However</w:t>
      </w:r>
      <w:r>
        <w:rPr>
          <w:rFonts w:ascii="Arial" w:hAnsi="Arial" w:cs="Arial"/>
          <w:sz w:val="18"/>
          <w:szCs w:val="18"/>
          <w:lang w:val="en-NZ"/>
        </w:rPr>
        <w:t>,</w:t>
      </w:r>
      <w:r w:rsidRPr="000F03FD">
        <w:rPr>
          <w:rFonts w:ascii="Arial" w:hAnsi="Arial" w:cs="Arial"/>
          <w:sz w:val="18"/>
          <w:szCs w:val="18"/>
          <w:lang w:val="en-NZ"/>
        </w:rPr>
        <w:t xml:space="preserve"> the issue of how accurately Census </w:t>
      </w:r>
      <w:proofErr w:type="spellStart"/>
      <w:r w:rsidRPr="000F03FD">
        <w:rPr>
          <w:rFonts w:ascii="Arial" w:hAnsi="Arial" w:cs="Arial"/>
          <w:sz w:val="18"/>
          <w:szCs w:val="18"/>
          <w:lang w:val="en-NZ"/>
        </w:rPr>
        <w:t>meshblock</w:t>
      </w:r>
      <w:proofErr w:type="spellEnd"/>
      <w:r w:rsidRPr="000F03FD">
        <w:rPr>
          <w:rFonts w:ascii="Arial" w:hAnsi="Arial" w:cs="Arial"/>
          <w:sz w:val="18"/>
          <w:szCs w:val="18"/>
          <w:lang w:val="en-NZ"/>
        </w:rPr>
        <w:t xml:space="preserve"> data reflects the actual circumstances of individual students is likely to be more significant in the case of students attending private schools.</w:t>
      </w:r>
    </w:p>
  </w:footnote>
  <w:footnote w:id="7">
    <w:p w:rsidR="009D34FB" w:rsidRPr="00CF13D0" w:rsidRDefault="009D34FB" w:rsidP="000C4300">
      <w:pPr>
        <w:pStyle w:val="FootnoteText"/>
        <w:jc w:val="both"/>
        <w:rPr>
          <w:rFonts w:ascii="Arial" w:hAnsi="Arial" w:cs="Arial"/>
          <w:lang w:val="en-NZ"/>
        </w:rPr>
      </w:pPr>
      <w:r w:rsidRPr="00CF13D0">
        <w:rPr>
          <w:rStyle w:val="FootnoteReference"/>
          <w:rFonts w:ascii="Arial" w:hAnsi="Arial" w:cs="Arial"/>
        </w:rPr>
        <w:footnoteRef/>
      </w:r>
      <w:r w:rsidRPr="00CF13D0">
        <w:rPr>
          <w:rFonts w:ascii="Arial" w:hAnsi="Arial" w:cs="Arial"/>
        </w:rPr>
        <w:t xml:space="preserve"> </w:t>
      </w:r>
      <w:r w:rsidRPr="000F03FD">
        <w:rPr>
          <w:rFonts w:ascii="Arial" w:hAnsi="Arial" w:cs="Arial"/>
          <w:sz w:val="18"/>
          <w:szCs w:val="18"/>
          <w:lang w:val="en-NZ"/>
        </w:rPr>
        <w:t xml:space="preserve">A crude option would be to use </w:t>
      </w:r>
      <w:r w:rsidRPr="000F03FD">
        <w:rPr>
          <w:rFonts w:ascii="Arial" w:hAnsi="Arial" w:cs="Arial"/>
          <w:sz w:val="18"/>
          <w:szCs w:val="18"/>
        </w:rPr>
        <w:t>fee levels as an indicator of capacity to pay.  However, fee levels reflect a combination of capacity to pay and family preferences about how they spend income. There is also an issue about the overlap between fees levels and donations; especially in the context where there is strong moral suasion for families to make donations.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FB" w:rsidRPr="006F4809" w:rsidRDefault="00C40DB6" w:rsidP="00C40DB6">
    <w:pPr>
      <w:pStyle w:val="Header"/>
      <w:rPr>
        <w:b/>
        <w:sz w:val="18"/>
        <w:szCs w:val="18"/>
      </w:rPr>
    </w:pPr>
    <w:r w:rsidRPr="00C40DB6">
      <w:rPr>
        <w:b/>
        <w:sz w:val="18"/>
        <w:szCs w:val="18"/>
      </w:rPr>
      <w:t xml:space="preserve">FOR ADVISORY GROUP </w:t>
    </w:r>
    <w:r w:rsidR="000D138D">
      <w:rPr>
        <w:b/>
        <w:sz w:val="18"/>
        <w:szCs w:val="18"/>
      </w:rPr>
      <w:t>USE ONLY</w:t>
    </w:r>
    <w:r w:rsidRPr="00C40DB6">
      <w:rPr>
        <w:b/>
        <w:sz w:val="18"/>
        <w:szCs w:val="18"/>
      </w:rPr>
      <w:t xml:space="preserve">                                           </w:t>
    </w:r>
    <w:r>
      <w:rPr>
        <w:b/>
        <w:sz w:val="18"/>
        <w:szCs w:val="18"/>
      </w:rPr>
      <w:t xml:space="preserve">                     </w:t>
    </w:r>
    <w:r w:rsidR="009D34FB">
      <w:rPr>
        <w:b/>
        <w:sz w:val="18"/>
        <w:szCs w:val="18"/>
      </w:rPr>
      <w:t>DRAFT – NOT GOVERNMENT POLICY</w:t>
    </w:r>
  </w:p>
  <w:p w:rsidR="009D34FB" w:rsidRDefault="009D34FB" w:rsidP="00A9150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B6" w:rsidRPr="00C40DB6" w:rsidRDefault="00C40DB6" w:rsidP="00C40DB6">
    <w:pPr>
      <w:pStyle w:val="Header"/>
      <w:jc w:val="center"/>
      <w:rPr>
        <w:sz w:val="18"/>
        <w:szCs w:val="18"/>
      </w:rPr>
    </w:pPr>
    <w:r>
      <w:rPr>
        <w:b/>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2">
    <w:nsid w:val="07515EE1"/>
    <w:multiLevelType w:val="hybridMultilevel"/>
    <w:tmpl w:val="8C668B5A"/>
    <w:lvl w:ilvl="0" w:tplc="0E1A4DB4">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3">
    <w:nsid w:val="0B8104AB"/>
    <w:multiLevelType w:val="hybridMultilevel"/>
    <w:tmpl w:val="8252FBE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0D2033A8"/>
    <w:multiLevelType w:val="hybridMultilevel"/>
    <w:tmpl w:val="EF66CA8C"/>
    <w:lvl w:ilvl="0" w:tplc="C9C06826">
      <w:start w:val="1"/>
      <w:numFmt w:val="decimal"/>
      <w:lvlText w:val="%1."/>
      <w:lvlJc w:val="left"/>
      <w:pPr>
        <w:ind w:left="1070" w:hanging="360"/>
      </w:pPr>
      <w:rPr>
        <w:rFonts w:ascii="Arial" w:hAnsi="Arial" w:hint="default"/>
        <w:b w:val="0"/>
        <w:color w:val="auto"/>
        <w:sz w:val="22"/>
        <w:szCs w:val="22"/>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155E1C"/>
    <w:multiLevelType w:val="hybridMultilevel"/>
    <w:tmpl w:val="604E120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F4F6A58"/>
    <w:multiLevelType w:val="hybridMultilevel"/>
    <w:tmpl w:val="F6D84A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FBD0AEB"/>
    <w:multiLevelType w:val="hybridMultilevel"/>
    <w:tmpl w:val="11EA82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1CF62AC"/>
    <w:multiLevelType w:val="hybridMultilevel"/>
    <w:tmpl w:val="4E906FEA"/>
    <w:lvl w:ilvl="0" w:tplc="14090001">
      <w:start w:val="1"/>
      <w:numFmt w:val="bullet"/>
      <w:lvlText w:val=""/>
      <w:lvlJc w:val="left"/>
      <w:pPr>
        <w:ind w:left="1070" w:hanging="360"/>
      </w:pPr>
      <w:rPr>
        <w:rFonts w:ascii="Symbol" w:hAnsi="Symbol" w:hint="default"/>
        <w:b w:val="0"/>
        <w:color w:val="auto"/>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DBE3A0E"/>
    <w:multiLevelType w:val="hybridMultilevel"/>
    <w:tmpl w:val="C6041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C36ACB"/>
    <w:multiLevelType w:val="hybridMultilevel"/>
    <w:tmpl w:val="B05C31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DB47E49"/>
    <w:multiLevelType w:val="hybridMultilevel"/>
    <w:tmpl w:val="61B4AB36"/>
    <w:lvl w:ilvl="0" w:tplc="D0666204">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E3D22AB"/>
    <w:multiLevelType w:val="hybridMultilevel"/>
    <w:tmpl w:val="58343FDA"/>
    <w:lvl w:ilvl="0" w:tplc="59D849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811170E"/>
    <w:multiLevelType w:val="hybridMultilevel"/>
    <w:tmpl w:val="3D1CE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3E627BA4"/>
    <w:multiLevelType w:val="hybridMultilevel"/>
    <w:tmpl w:val="7A266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5116689"/>
    <w:multiLevelType w:val="hybridMultilevel"/>
    <w:tmpl w:val="E738D6A4"/>
    <w:lvl w:ilvl="0" w:tplc="1409000F">
      <w:start w:val="1"/>
      <w:numFmt w:val="decimal"/>
      <w:lvlText w:val="%1."/>
      <w:lvlJc w:val="left"/>
      <w:pPr>
        <w:ind w:left="36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98E7DE9"/>
    <w:multiLevelType w:val="hybridMultilevel"/>
    <w:tmpl w:val="531246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0773B34"/>
    <w:multiLevelType w:val="hybridMultilevel"/>
    <w:tmpl w:val="07E413A2"/>
    <w:lvl w:ilvl="0" w:tplc="18ACF0E8">
      <w:start w:val="1"/>
      <w:numFmt w:val="decimal"/>
      <w:lvlText w:val="%1."/>
      <w:lvlJc w:val="left"/>
      <w:pPr>
        <w:ind w:left="927" w:hanging="360"/>
      </w:pPr>
      <w:rPr>
        <w:rFonts w:ascii="Arial" w:hAnsi="Arial" w:hint="default"/>
        <w:b w:val="0"/>
        <w:i w:val="0"/>
        <w:color w:val="auto"/>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35E06E9"/>
    <w:multiLevelType w:val="hybridMultilevel"/>
    <w:tmpl w:val="F46C803E"/>
    <w:lvl w:ilvl="0" w:tplc="1409000F">
      <w:start w:val="1"/>
      <w:numFmt w:val="decimal"/>
      <w:lvlText w:val="%1."/>
      <w:lvlJc w:val="left"/>
      <w:pPr>
        <w:ind w:left="36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65C4B49"/>
    <w:multiLevelType w:val="hybridMultilevel"/>
    <w:tmpl w:val="EA1CF0B2"/>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3">
    <w:nsid w:val="5A33294F"/>
    <w:multiLevelType w:val="hybridMultilevel"/>
    <w:tmpl w:val="CC3E1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D6F28E8"/>
    <w:multiLevelType w:val="hybridMultilevel"/>
    <w:tmpl w:val="04581234"/>
    <w:lvl w:ilvl="0" w:tplc="5368371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E070B41"/>
    <w:multiLevelType w:val="hybridMultilevel"/>
    <w:tmpl w:val="D1184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7">
    <w:nsid w:val="65454F99"/>
    <w:multiLevelType w:val="hybridMultilevel"/>
    <w:tmpl w:val="19EA9E0C"/>
    <w:lvl w:ilvl="0" w:tplc="EFFE8A38">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6A0B7927"/>
    <w:multiLevelType w:val="hybridMultilevel"/>
    <w:tmpl w:val="FAAC34A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CD33327"/>
    <w:multiLevelType w:val="hybridMultilevel"/>
    <w:tmpl w:val="39C0D1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DD672C7"/>
    <w:multiLevelType w:val="hybridMultilevel"/>
    <w:tmpl w:val="0DE6B60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753F4A48"/>
    <w:multiLevelType w:val="hybridMultilevel"/>
    <w:tmpl w:val="9D7C1AFE"/>
    <w:lvl w:ilvl="0" w:tplc="06D45AC8">
      <w:start w:val="1"/>
      <w:numFmt w:val="decimal"/>
      <w:lvlText w:val="%1."/>
      <w:lvlJc w:val="left"/>
      <w:pPr>
        <w:ind w:left="1070" w:hanging="360"/>
      </w:pPr>
      <w:rPr>
        <w:rFonts w:ascii="Arial" w:hAnsi="Arial" w:hint="default"/>
        <w:b w:val="0"/>
        <w:i w:val="0"/>
        <w:color w:val="auto"/>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88B38D3"/>
    <w:multiLevelType w:val="hybridMultilevel"/>
    <w:tmpl w:val="5088C4A4"/>
    <w:lvl w:ilvl="0" w:tplc="14090001">
      <w:start w:val="1"/>
      <w:numFmt w:val="bullet"/>
      <w:lvlText w:val=""/>
      <w:lvlJc w:val="left"/>
      <w:pPr>
        <w:ind w:left="1070" w:hanging="360"/>
      </w:pPr>
      <w:rPr>
        <w:rFonts w:ascii="Symbol" w:hAnsi="Symbol" w:hint="default"/>
        <w:b w:val="0"/>
        <w:color w:val="auto"/>
        <w:sz w:val="22"/>
        <w:szCs w:val="22"/>
      </w:rPr>
    </w:lvl>
    <w:lvl w:ilvl="1" w:tplc="14090019">
      <w:start w:val="1"/>
      <w:numFmt w:val="lowerLetter"/>
      <w:lvlText w:val="%2."/>
      <w:lvlJc w:val="left"/>
      <w:pPr>
        <w:ind w:left="1440" w:hanging="360"/>
      </w:p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9522208"/>
    <w:multiLevelType w:val="hybridMultilevel"/>
    <w:tmpl w:val="AC606E40"/>
    <w:lvl w:ilvl="0" w:tplc="14090001">
      <w:start w:val="1"/>
      <w:numFmt w:val="bullet"/>
      <w:lvlText w:val=""/>
      <w:lvlJc w:val="left"/>
      <w:pPr>
        <w:ind w:left="1430" w:hanging="360"/>
      </w:pPr>
      <w:rPr>
        <w:rFonts w:ascii="Symbol" w:hAnsi="Symbol" w:hint="default"/>
      </w:rPr>
    </w:lvl>
    <w:lvl w:ilvl="1" w:tplc="14090003" w:tentative="1">
      <w:start w:val="1"/>
      <w:numFmt w:val="bullet"/>
      <w:lvlText w:val="o"/>
      <w:lvlJc w:val="left"/>
      <w:pPr>
        <w:ind w:left="2150" w:hanging="360"/>
      </w:pPr>
      <w:rPr>
        <w:rFonts w:ascii="Courier New" w:hAnsi="Courier New" w:cs="Courier New" w:hint="default"/>
      </w:rPr>
    </w:lvl>
    <w:lvl w:ilvl="2" w:tplc="14090005" w:tentative="1">
      <w:start w:val="1"/>
      <w:numFmt w:val="bullet"/>
      <w:lvlText w:val=""/>
      <w:lvlJc w:val="left"/>
      <w:pPr>
        <w:ind w:left="2870" w:hanging="360"/>
      </w:pPr>
      <w:rPr>
        <w:rFonts w:ascii="Wingdings" w:hAnsi="Wingdings" w:hint="default"/>
      </w:rPr>
    </w:lvl>
    <w:lvl w:ilvl="3" w:tplc="14090001" w:tentative="1">
      <w:start w:val="1"/>
      <w:numFmt w:val="bullet"/>
      <w:lvlText w:val=""/>
      <w:lvlJc w:val="left"/>
      <w:pPr>
        <w:ind w:left="3590" w:hanging="360"/>
      </w:pPr>
      <w:rPr>
        <w:rFonts w:ascii="Symbol" w:hAnsi="Symbol" w:hint="default"/>
      </w:rPr>
    </w:lvl>
    <w:lvl w:ilvl="4" w:tplc="14090003" w:tentative="1">
      <w:start w:val="1"/>
      <w:numFmt w:val="bullet"/>
      <w:lvlText w:val="o"/>
      <w:lvlJc w:val="left"/>
      <w:pPr>
        <w:ind w:left="4310" w:hanging="360"/>
      </w:pPr>
      <w:rPr>
        <w:rFonts w:ascii="Courier New" w:hAnsi="Courier New" w:cs="Courier New" w:hint="default"/>
      </w:rPr>
    </w:lvl>
    <w:lvl w:ilvl="5" w:tplc="14090005" w:tentative="1">
      <w:start w:val="1"/>
      <w:numFmt w:val="bullet"/>
      <w:lvlText w:val=""/>
      <w:lvlJc w:val="left"/>
      <w:pPr>
        <w:ind w:left="5030" w:hanging="360"/>
      </w:pPr>
      <w:rPr>
        <w:rFonts w:ascii="Wingdings" w:hAnsi="Wingdings" w:hint="default"/>
      </w:rPr>
    </w:lvl>
    <w:lvl w:ilvl="6" w:tplc="14090001" w:tentative="1">
      <w:start w:val="1"/>
      <w:numFmt w:val="bullet"/>
      <w:lvlText w:val=""/>
      <w:lvlJc w:val="left"/>
      <w:pPr>
        <w:ind w:left="5750" w:hanging="360"/>
      </w:pPr>
      <w:rPr>
        <w:rFonts w:ascii="Symbol" w:hAnsi="Symbol" w:hint="default"/>
      </w:rPr>
    </w:lvl>
    <w:lvl w:ilvl="7" w:tplc="14090003" w:tentative="1">
      <w:start w:val="1"/>
      <w:numFmt w:val="bullet"/>
      <w:lvlText w:val="o"/>
      <w:lvlJc w:val="left"/>
      <w:pPr>
        <w:ind w:left="6470" w:hanging="360"/>
      </w:pPr>
      <w:rPr>
        <w:rFonts w:ascii="Courier New" w:hAnsi="Courier New" w:cs="Courier New" w:hint="default"/>
      </w:rPr>
    </w:lvl>
    <w:lvl w:ilvl="8" w:tplc="14090005" w:tentative="1">
      <w:start w:val="1"/>
      <w:numFmt w:val="bullet"/>
      <w:lvlText w:val=""/>
      <w:lvlJc w:val="left"/>
      <w:pPr>
        <w:ind w:left="7190" w:hanging="360"/>
      </w:pPr>
      <w:rPr>
        <w:rFonts w:ascii="Wingdings" w:hAnsi="Wingdings" w:hint="default"/>
      </w:rPr>
    </w:lvl>
  </w:abstractNum>
  <w:abstractNum w:abstractNumId="35">
    <w:nsid w:val="7DE87F5F"/>
    <w:multiLevelType w:val="hybridMultilevel"/>
    <w:tmpl w:val="57802606"/>
    <w:lvl w:ilvl="0" w:tplc="14090001">
      <w:start w:val="1"/>
      <w:numFmt w:val="bullet"/>
      <w:lvlText w:val=""/>
      <w:lvlJc w:val="left"/>
      <w:pPr>
        <w:ind w:left="737" w:hanging="360"/>
      </w:pPr>
      <w:rPr>
        <w:rFonts w:ascii="Symbol" w:hAnsi="Symbol" w:hint="default"/>
      </w:rPr>
    </w:lvl>
    <w:lvl w:ilvl="1" w:tplc="14090003" w:tentative="1">
      <w:start w:val="1"/>
      <w:numFmt w:val="bullet"/>
      <w:lvlText w:val="o"/>
      <w:lvlJc w:val="left"/>
      <w:pPr>
        <w:ind w:left="1457" w:hanging="360"/>
      </w:pPr>
      <w:rPr>
        <w:rFonts w:ascii="Courier New" w:hAnsi="Courier New" w:cs="Courier New" w:hint="default"/>
      </w:rPr>
    </w:lvl>
    <w:lvl w:ilvl="2" w:tplc="14090005" w:tentative="1">
      <w:start w:val="1"/>
      <w:numFmt w:val="bullet"/>
      <w:lvlText w:val=""/>
      <w:lvlJc w:val="left"/>
      <w:pPr>
        <w:ind w:left="2177" w:hanging="360"/>
      </w:pPr>
      <w:rPr>
        <w:rFonts w:ascii="Wingdings" w:hAnsi="Wingdings" w:hint="default"/>
      </w:rPr>
    </w:lvl>
    <w:lvl w:ilvl="3" w:tplc="14090001" w:tentative="1">
      <w:start w:val="1"/>
      <w:numFmt w:val="bullet"/>
      <w:lvlText w:val=""/>
      <w:lvlJc w:val="left"/>
      <w:pPr>
        <w:ind w:left="2897" w:hanging="360"/>
      </w:pPr>
      <w:rPr>
        <w:rFonts w:ascii="Symbol" w:hAnsi="Symbol" w:hint="default"/>
      </w:rPr>
    </w:lvl>
    <w:lvl w:ilvl="4" w:tplc="14090003" w:tentative="1">
      <w:start w:val="1"/>
      <w:numFmt w:val="bullet"/>
      <w:lvlText w:val="o"/>
      <w:lvlJc w:val="left"/>
      <w:pPr>
        <w:ind w:left="3617" w:hanging="360"/>
      </w:pPr>
      <w:rPr>
        <w:rFonts w:ascii="Courier New" w:hAnsi="Courier New" w:cs="Courier New" w:hint="default"/>
      </w:rPr>
    </w:lvl>
    <w:lvl w:ilvl="5" w:tplc="14090005" w:tentative="1">
      <w:start w:val="1"/>
      <w:numFmt w:val="bullet"/>
      <w:lvlText w:val=""/>
      <w:lvlJc w:val="left"/>
      <w:pPr>
        <w:ind w:left="4337" w:hanging="360"/>
      </w:pPr>
      <w:rPr>
        <w:rFonts w:ascii="Wingdings" w:hAnsi="Wingdings" w:hint="default"/>
      </w:rPr>
    </w:lvl>
    <w:lvl w:ilvl="6" w:tplc="14090001" w:tentative="1">
      <w:start w:val="1"/>
      <w:numFmt w:val="bullet"/>
      <w:lvlText w:val=""/>
      <w:lvlJc w:val="left"/>
      <w:pPr>
        <w:ind w:left="5057" w:hanging="360"/>
      </w:pPr>
      <w:rPr>
        <w:rFonts w:ascii="Symbol" w:hAnsi="Symbol" w:hint="default"/>
      </w:rPr>
    </w:lvl>
    <w:lvl w:ilvl="7" w:tplc="14090003" w:tentative="1">
      <w:start w:val="1"/>
      <w:numFmt w:val="bullet"/>
      <w:lvlText w:val="o"/>
      <w:lvlJc w:val="left"/>
      <w:pPr>
        <w:ind w:left="5777" w:hanging="360"/>
      </w:pPr>
      <w:rPr>
        <w:rFonts w:ascii="Courier New" w:hAnsi="Courier New" w:cs="Courier New" w:hint="default"/>
      </w:rPr>
    </w:lvl>
    <w:lvl w:ilvl="8" w:tplc="14090005" w:tentative="1">
      <w:start w:val="1"/>
      <w:numFmt w:val="bullet"/>
      <w:lvlText w:val=""/>
      <w:lvlJc w:val="left"/>
      <w:pPr>
        <w:ind w:left="6497" w:hanging="360"/>
      </w:pPr>
      <w:rPr>
        <w:rFonts w:ascii="Wingdings" w:hAnsi="Wingdings" w:hint="default"/>
      </w:rPr>
    </w:lvl>
  </w:abstractNum>
  <w:num w:numId="1">
    <w:abstractNumId w:val="26"/>
  </w:num>
  <w:num w:numId="2">
    <w:abstractNumId w:val="1"/>
  </w:num>
  <w:num w:numId="3">
    <w:abstractNumId w:val="14"/>
  </w:num>
  <w:num w:numId="4">
    <w:abstractNumId w:val="4"/>
  </w:num>
  <w:num w:numId="5">
    <w:abstractNumId w:val="32"/>
  </w:num>
  <w:num w:numId="6">
    <w:abstractNumId w:val="16"/>
  </w:num>
  <w:num w:numId="7">
    <w:abstractNumId w:val="12"/>
  </w:num>
  <w:num w:numId="8">
    <w:abstractNumId w:val="7"/>
  </w:num>
  <w:num w:numId="9">
    <w:abstractNumId w:val="24"/>
  </w:num>
  <w:num w:numId="10">
    <w:abstractNumId w:val="3"/>
  </w:num>
  <w:num w:numId="11">
    <w:abstractNumId w:val="22"/>
  </w:num>
  <w:num w:numId="12">
    <w:abstractNumId w:val="21"/>
  </w:num>
  <w:num w:numId="13">
    <w:abstractNumId w:val="18"/>
  </w:num>
  <w:num w:numId="14">
    <w:abstractNumId w:val="8"/>
  </w:num>
  <w:num w:numId="15">
    <w:abstractNumId w:val="27"/>
  </w:num>
  <w:num w:numId="16">
    <w:abstractNumId w:val="11"/>
  </w:num>
  <w:num w:numId="17">
    <w:abstractNumId w:val="29"/>
  </w:num>
  <w:num w:numId="18">
    <w:abstractNumId w:val="10"/>
  </w:num>
  <w:num w:numId="19">
    <w:abstractNumId w:val="17"/>
  </w:num>
  <w:num w:numId="20">
    <w:abstractNumId w:val="0"/>
  </w:num>
  <w:num w:numId="21">
    <w:abstractNumId w:val="6"/>
  </w:num>
  <w:num w:numId="22">
    <w:abstractNumId w:val="30"/>
  </w:num>
  <w:num w:numId="23">
    <w:abstractNumId w:val="19"/>
  </w:num>
  <w:num w:numId="24">
    <w:abstractNumId w:val="13"/>
  </w:num>
  <w:num w:numId="25">
    <w:abstractNumId w:val="28"/>
  </w:num>
  <w:num w:numId="26">
    <w:abstractNumId w:val="31"/>
  </w:num>
  <w:num w:numId="27">
    <w:abstractNumId w:val="33"/>
  </w:num>
  <w:num w:numId="28">
    <w:abstractNumId w:val="5"/>
  </w:num>
  <w:num w:numId="29">
    <w:abstractNumId w:val="20"/>
  </w:num>
  <w:num w:numId="30">
    <w:abstractNumId w:val="15"/>
  </w:num>
  <w:num w:numId="31">
    <w:abstractNumId w:val="35"/>
  </w:num>
  <w:num w:numId="32">
    <w:abstractNumId w:val="25"/>
  </w:num>
  <w:num w:numId="33">
    <w:abstractNumId w:val="34"/>
  </w:num>
  <w:num w:numId="34">
    <w:abstractNumId w:val="9"/>
  </w:num>
  <w:num w:numId="35">
    <w:abstractNumId w:val="2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163B79"/>
    <w:rsid w:val="0001603F"/>
    <w:rsid w:val="00027FC5"/>
    <w:rsid w:val="00031556"/>
    <w:rsid w:val="00043028"/>
    <w:rsid w:val="0005279B"/>
    <w:rsid w:val="00061898"/>
    <w:rsid w:val="00070F68"/>
    <w:rsid w:val="000872CB"/>
    <w:rsid w:val="000A1D28"/>
    <w:rsid w:val="000A5502"/>
    <w:rsid w:val="000C0DD5"/>
    <w:rsid w:val="000C144E"/>
    <w:rsid w:val="000C4300"/>
    <w:rsid w:val="000D138D"/>
    <w:rsid w:val="000E0294"/>
    <w:rsid w:val="000F03FD"/>
    <w:rsid w:val="000F1905"/>
    <w:rsid w:val="000F49F2"/>
    <w:rsid w:val="00100CC1"/>
    <w:rsid w:val="001041E6"/>
    <w:rsid w:val="0011650A"/>
    <w:rsid w:val="00135C0F"/>
    <w:rsid w:val="001452AA"/>
    <w:rsid w:val="0015650A"/>
    <w:rsid w:val="0016202D"/>
    <w:rsid w:val="0016285E"/>
    <w:rsid w:val="00163B79"/>
    <w:rsid w:val="00177BD4"/>
    <w:rsid w:val="00182F6B"/>
    <w:rsid w:val="00183708"/>
    <w:rsid w:val="001A740F"/>
    <w:rsid w:val="001B6E89"/>
    <w:rsid w:val="001C4E90"/>
    <w:rsid w:val="001C6764"/>
    <w:rsid w:val="001F70CD"/>
    <w:rsid w:val="00207B98"/>
    <w:rsid w:val="00210728"/>
    <w:rsid w:val="00213189"/>
    <w:rsid w:val="0021532C"/>
    <w:rsid w:val="002216D6"/>
    <w:rsid w:val="00222E25"/>
    <w:rsid w:val="00223DE2"/>
    <w:rsid w:val="0024310A"/>
    <w:rsid w:val="00246359"/>
    <w:rsid w:val="00250F89"/>
    <w:rsid w:val="00257C00"/>
    <w:rsid w:val="002613E6"/>
    <w:rsid w:val="002669E8"/>
    <w:rsid w:val="00266C57"/>
    <w:rsid w:val="002678E9"/>
    <w:rsid w:val="00270A31"/>
    <w:rsid w:val="002725D8"/>
    <w:rsid w:val="002B2A6A"/>
    <w:rsid w:val="002D5DD1"/>
    <w:rsid w:val="002E4A4D"/>
    <w:rsid w:val="002F2F81"/>
    <w:rsid w:val="003049FF"/>
    <w:rsid w:val="00314F79"/>
    <w:rsid w:val="00315429"/>
    <w:rsid w:val="00315D7F"/>
    <w:rsid w:val="003169F6"/>
    <w:rsid w:val="00327608"/>
    <w:rsid w:val="0036745F"/>
    <w:rsid w:val="00374FE8"/>
    <w:rsid w:val="003912C5"/>
    <w:rsid w:val="00391BCC"/>
    <w:rsid w:val="00393DE7"/>
    <w:rsid w:val="00396D0F"/>
    <w:rsid w:val="003C4C33"/>
    <w:rsid w:val="003C5C11"/>
    <w:rsid w:val="003D6BC5"/>
    <w:rsid w:val="003F566F"/>
    <w:rsid w:val="004178D6"/>
    <w:rsid w:val="00430CA8"/>
    <w:rsid w:val="00456047"/>
    <w:rsid w:val="00482016"/>
    <w:rsid w:val="004832DD"/>
    <w:rsid w:val="00493A6D"/>
    <w:rsid w:val="004B1117"/>
    <w:rsid w:val="004E5473"/>
    <w:rsid w:val="004E6D11"/>
    <w:rsid w:val="004F1B30"/>
    <w:rsid w:val="004F6C24"/>
    <w:rsid w:val="00507D7D"/>
    <w:rsid w:val="00511D9F"/>
    <w:rsid w:val="00526694"/>
    <w:rsid w:val="00527EF1"/>
    <w:rsid w:val="0053787A"/>
    <w:rsid w:val="005417CA"/>
    <w:rsid w:val="00553D72"/>
    <w:rsid w:val="00564A29"/>
    <w:rsid w:val="00584380"/>
    <w:rsid w:val="00585959"/>
    <w:rsid w:val="00593C0F"/>
    <w:rsid w:val="005A0AAD"/>
    <w:rsid w:val="005B2A5A"/>
    <w:rsid w:val="005D72AD"/>
    <w:rsid w:val="005E0DDD"/>
    <w:rsid w:val="00612BA9"/>
    <w:rsid w:val="00615506"/>
    <w:rsid w:val="00624D8A"/>
    <w:rsid w:val="00626100"/>
    <w:rsid w:val="00631A5C"/>
    <w:rsid w:val="0065751F"/>
    <w:rsid w:val="00664B85"/>
    <w:rsid w:val="0066528D"/>
    <w:rsid w:val="00666702"/>
    <w:rsid w:val="00667D36"/>
    <w:rsid w:val="0067450E"/>
    <w:rsid w:val="00674596"/>
    <w:rsid w:val="00676B77"/>
    <w:rsid w:val="00690D70"/>
    <w:rsid w:val="00697DC9"/>
    <w:rsid w:val="006A156C"/>
    <w:rsid w:val="006A58BA"/>
    <w:rsid w:val="006A63FE"/>
    <w:rsid w:val="006A7B35"/>
    <w:rsid w:val="006C0813"/>
    <w:rsid w:val="006C489D"/>
    <w:rsid w:val="006C4BB8"/>
    <w:rsid w:val="006E2B3D"/>
    <w:rsid w:val="006E789B"/>
    <w:rsid w:val="006F02DD"/>
    <w:rsid w:val="006F1793"/>
    <w:rsid w:val="00724E3D"/>
    <w:rsid w:val="007271EE"/>
    <w:rsid w:val="00731978"/>
    <w:rsid w:val="00735102"/>
    <w:rsid w:val="00737D23"/>
    <w:rsid w:val="00745D45"/>
    <w:rsid w:val="00760B57"/>
    <w:rsid w:val="00765294"/>
    <w:rsid w:val="007653B6"/>
    <w:rsid w:val="007672B1"/>
    <w:rsid w:val="007744D3"/>
    <w:rsid w:val="007A28E1"/>
    <w:rsid w:val="007B3FAB"/>
    <w:rsid w:val="007C2650"/>
    <w:rsid w:val="007F7754"/>
    <w:rsid w:val="00811BAF"/>
    <w:rsid w:val="008303E0"/>
    <w:rsid w:val="0083080D"/>
    <w:rsid w:val="008510BD"/>
    <w:rsid w:val="00861333"/>
    <w:rsid w:val="00885F9E"/>
    <w:rsid w:val="00894346"/>
    <w:rsid w:val="00896D5D"/>
    <w:rsid w:val="00897694"/>
    <w:rsid w:val="00897B7C"/>
    <w:rsid w:val="008A0334"/>
    <w:rsid w:val="008C602B"/>
    <w:rsid w:val="008C73B3"/>
    <w:rsid w:val="008D4E14"/>
    <w:rsid w:val="008E0B3F"/>
    <w:rsid w:val="008E45C8"/>
    <w:rsid w:val="008F0A1D"/>
    <w:rsid w:val="008F2D0E"/>
    <w:rsid w:val="009060AF"/>
    <w:rsid w:val="009445A3"/>
    <w:rsid w:val="00946C21"/>
    <w:rsid w:val="00960914"/>
    <w:rsid w:val="00970D9B"/>
    <w:rsid w:val="00992454"/>
    <w:rsid w:val="009A7985"/>
    <w:rsid w:val="009B3D72"/>
    <w:rsid w:val="009B3F1C"/>
    <w:rsid w:val="009C34C1"/>
    <w:rsid w:val="009D0725"/>
    <w:rsid w:val="009D0F41"/>
    <w:rsid w:val="009D34FB"/>
    <w:rsid w:val="009E30F1"/>
    <w:rsid w:val="009F4E04"/>
    <w:rsid w:val="00A12963"/>
    <w:rsid w:val="00A4150B"/>
    <w:rsid w:val="00A46856"/>
    <w:rsid w:val="00A47C5A"/>
    <w:rsid w:val="00A5052F"/>
    <w:rsid w:val="00A608A4"/>
    <w:rsid w:val="00A67626"/>
    <w:rsid w:val="00A9150E"/>
    <w:rsid w:val="00AD2D1D"/>
    <w:rsid w:val="00B06E91"/>
    <w:rsid w:val="00B13BBD"/>
    <w:rsid w:val="00B176DA"/>
    <w:rsid w:val="00B22171"/>
    <w:rsid w:val="00B70AF4"/>
    <w:rsid w:val="00B70BBE"/>
    <w:rsid w:val="00B93F29"/>
    <w:rsid w:val="00B94073"/>
    <w:rsid w:val="00B94158"/>
    <w:rsid w:val="00BB1465"/>
    <w:rsid w:val="00BC31B2"/>
    <w:rsid w:val="00BE0916"/>
    <w:rsid w:val="00BF4CAC"/>
    <w:rsid w:val="00C002BE"/>
    <w:rsid w:val="00C01C96"/>
    <w:rsid w:val="00C20A63"/>
    <w:rsid w:val="00C2345C"/>
    <w:rsid w:val="00C24743"/>
    <w:rsid w:val="00C34847"/>
    <w:rsid w:val="00C3587B"/>
    <w:rsid w:val="00C40DB6"/>
    <w:rsid w:val="00C43D1C"/>
    <w:rsid w:val="00C678D2"/>
    <w:rsid w:val="00C82479"/>
    <w:rsid w:val="00C869B2"/>
    <w:rsid w:val="00C9159E"/>
    <w:rsid w:val="00C94F2A"/>
    <w:rsid w:val="00CB780D"/>
    <w:rsid w:val="00CC7924"/>
    <w:rsid w:val="00CE3C0A"/>
    <w:rsid w:val="00CF13D0"/>
    <w:rsid w:val="00D14B07"/>
    <w:rsid w:val="00D306D6"/>
    <w:rsid w:val="00D4269B"/>
    <w:rsid w:val="00D453D2"/>
    <w:rsid w:val="00D62B7E"/>
    <w:rsid w:val="00D649D0"/>
    <w:rsid w:val="00D7264E"/>
    <w:rsid w:val="00D751B4"/>
    <w:rsid w:val="00D85C7D"/>
    <w:rsid w:val="00D87FB1"/>
    <w:rsid w:val="00D942A2"/>
    <w:rsid w:val="00D9430B"/>
    <w:rsid w:val="00DA1D95"/>
    <w:rsid w:val="00DB0B31"/>
    <w:rsid w:val="00DB65A2"/>
    <w:rsid w:val="00DD0F24"/>
    <w:rsid w:val="00DD7D5E"/>
    <w:rsid w:val="00DF328F"/>
    <w:rsid w:val="00E03A74"/>
    <w:rsid w:val="00E34534"/>
    <w:rsid w:val="00E37B48"/>
    <w:rsid w:val="00E4635C"/>
    <w:rsid w:val="00E55060"/>
    <w:rsid w:val="00E70ABE"/>
    <w:rsid w:val="00E76463"/>
    <w:rsid w:val="00E94222"/>
    <w:rsid w:val="00EA0EA5"/>
    <w:rsid w:val="00EA1DD5"/>
    <w:rsid w:val="00EB07AD"/>
    <w:rsid w:val="00ED11CD"/>
    <w:rsid w:val="00EE1355"/>
    <w:rsid w:val="00EE1724"/>
    <w:rsid w:val="00EE57EB"/>
    <w:rsid w:val="00EF3278"/>
    <w:rsid w:val="00EF7BDF"/>
    <w:rsid w:val="00F05F17"/>
    <w:rsid w:val="00F1095B"/>
    <w:rsid w:val="00F17596"/>
    <w:rsid w:val="00F51DEF"/>
    <w:rsid w:val="00F65F12"/>
    <w:rsid w:val="00F67A23"/>
    <w:rsid w:val="00FE0ADE"/>
    <w:rsid w:val="00FF4DF4"/>
    <w:rsid w:val="00FF4E0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3F"/>
    <w:rPr>
      <w:rFonts w:ascii="Tahoma" w:eastAsiaTheme="minorHAnsi" w:hAnsi="Tahoma" w:cstheme="minorBidi"/>
      <w:sz w:val="24"/>
      <w:szCs w:val="24"/>
      <w:lang w:val="en-AU" w:eastAsia="en-US"/>
    </w:rPr>
  </w:style>
  <w:style w:type="paragraph" w:styleId="Heading1">
    <w:name w:val="heading 1"/>
    <w:basedOn w:val="Normal"/>
    <w:next w:val="BodyText"/>
    <w:qFormat/>
    <w:rsid w:val="008E0B3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8E0B3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8E0B3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8E0B3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450E"/>
    <w:pPr>
      <w:spacing w:before="60" w:after="220" w:line="280" w:lineRule="exact"/>
    </w:pPr>
    <w:rPr>
      <w:rFonts w:ascii="Arial" w:hAnsi="Arial"/>
      <w:szCs w:val="20"/>
    </w:rPr>
  </w:style>
  <w:style w:type="paragraph" w:styleId="PlainText">
    <w:name w:val="Plain Text"/>
    <w:basedOn w:val="Normal"/>
    <w:rsid w:val="0067450E"/>
    <w:pPr>
      <w:tabs>
        <w:tab w:val="left" w:pos="425"/>
      </w:tabs>
      <w:spacing w:after="240" w:line="320" w:lineRule="exact"/>
    </w:pPr>
    <w:rPr>
      <w:szCs w:val="20"/>
    </w:rPr>
  </w:style>
  <w:style w:type="paragraph" w:customStyle="1" w:styleId="Bullet">
    <w:name w:val="Bullet"/>
    <w:basedOn w:val="PlainText"/>
    <w:rsid w:val="0067450E"/>
    <w:pPr>
      <w:numPr>
        <w:numId w:val="1"/>
      </w:numPr>
      <w:tabs>
        <w:tab w:val="clear" w:pos="360"/>
      </w:tabs>
      <w:spacing w:after="0"/>
      <w:ind w:left="425" w:hanging="425"/>
    </w:pPr>
  </w:style>
  <w:style w:type="paragraph" w:customStyle="1" w:styleId="Bulletspace">
    <w:name w:val="Bullet+space"/>
    <w:basedOn w:val="Bullet"/>
    <w:rsid w:val="0067450E"/>
    <w:pPr>
      <w:numPr>
        <w:numId w:val="0"/>
      </w:numPr>
      <w:spacing w:after="240"/>
      <w:ind w:left="425" w:hanging="425"/>
    </w:pPr>
  </w:style>
  <w:style w:type="character" w:styleId="CommentReference">
    <w:name w:val="annotation reference"/>
    <w:basedOn w:val="DefaultParagraphFont"/>
    <w:semiHidden/>
    <w:rsid w:val="0067450E"/>
    <w:rPr>
      <w:sz w:val="16"/>
      <w:szCs w:val="16"/>
    </w:rPr>
  </w:style>
  <w:style w:type="character" w:styleId="FollowedHyperlink">
    <w:name w:val="FollowedHyperlink"/>
    <w:basedOn w:val="DefaultParagraphFont"/>
    <w:rsid w:val="0067450E"/>
    <w:rPr>
      <w:color w:val="800080"/>
      <w:u w:val="single"/>
    </w:rPr>
  </w:style>
  <w:style w:type="paragraph" w:styleId="Footer">
    <w:name w:val="footer"/>
    <w:basedOn w:val="Normal"/>
    <w:next w:val="Normal"/>
    <w:link w:val="FooterChar"/>
    <w:uiPriority w:val="99"/>
    <w:rsid w:val="0067450E"/>
    <w:pPr>
      <w:spacing w:line="200" w:lineRule="exact"/>
    </w:pPr>
    <w:rPr>
      <w:rFonts w:ascii="Arial" w:hAnsi="Arial"/>
      <w:sz w:val="15"/>
      <w:szCs w:val="20"/>
    </w:rPr>
  </w:style>
  <w:style w:type="paragraph" w:styleId="Header">
    <w:name w:val="header"/>
    <w:basedOn w:val="Normal"/>
    <w:rsid w:val="0067450E"/>
    <w:pPr>
      <w:tabs>
        <w:tab w:val="center" w:pos="4536"/>
        <w:tab w:val="right" w:pos="9072"/>
      </w:tabs>
      <w:spacing w:line="240" w:lineRule="exact"/>
    </w:pPr>
    <w:rPr>
      <w:sz w:val="16"/>
      <w:szCs w:val="20"/>
    </w:rPr>
  </w:style>
  <w:style w:type="character" w:styleId="Hyperlink">
    <w:name w:val="Hyperlink"/>
    <w:basedOn w:val="DefaultParagraphFont"/>
    <w:rsid w:val="0067450E"/>
    <w:rPr>
      <w:color w:val="0000FF"/>
      <w:u w:val="single"/>
    </w:rPr>
  </w:style>
  <w:style w:type="paragraph" w:styleId="ListBullet">
    <w:name w:val="List Bullet"/>
    <w:basedOn w:val="Normal"/>
    <w:autoRedefine/>
    <w:rsid w:val="0067450E"/>
    <w:pPr>
      <w:numPr>
        <w:numId w:val="3"/>
      </w:numPr>
      <w:tabs>
        <w:tab w:val="clear" w:pos="425"/>
      </w:tabs>
      <w:spacing w:line="280" w:lineRule="exact"/>
    </w:pPr>
    <w:rPr>
      <w:szCs w:val="20"/>
    </w:rPr>
  </w:style>
  <w:style w:type="paragraph" w:customStyle="1" w:styleId="ListPara">
    <w:name w:val="List Para"/>
    <w:basedOn w:val="Normal"/>
    <w:rsid w:val="0067450E"/>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67450E"/>
    <w:pPr>
      <w:spacing w:before="60" w:after="60" w:line="280" w:lineRule="exact"/>
    </w:pPr>
    <w:rPr>
      <w:rFonts w:ascii="Arial" w:hAnsi="Arial"/>
      <w:szCs w:val="20"/>
    </w:rPr>
  </w:style>
  <w:style w:type="paragraph" w:customStyle="1" w:styleId="MemoAddresseePrompts">
    <w:name w:val="MemoAddresseePrompts"/>
    <w:basedOn w:val="Normal"/>
    <w:rsid w:val="0067450E"/>
    <w:pPr>
      <w:tabs>
        <w:tab w:val="left" w:pos="5670"/>
      </w:tabs>
      <w:spacing w:before="60" w:after="60" w:line="280" w:lineRule="exact"/>
    </w:pPr>
    <w:rPr>
      <w:rFonts w:ascii="Arial" w:hAnsi="Arial"/>
      <w:b/>
      <w:szCs w:val="20"/>
    </w:rPr>
  </w:style>
  <w:style w:type="paragraph" w:customStyle="1" w:styleId="ParaBullet">
    <w:name w:val="Para Bullet"/>
    <w:basedOn w:val="Normal"/>
    <w:rsid w:val="0067450E"/>
    <w:pPr>
      <w:numPr>
        <w:numId w:val="5"/>
      </w:numPr>
      <w:tabs>
        <w:tab w:val="clear" w:pos="425"/>
      </w:tabs>
      <w:spacing w:before="60" w:after="220" w:line="280" w:lineRule="exact"/>
    </w:pPr>
    <w:rPr>
      <w:szCs w:val="20"/>
    </w:rPr>
  </w:style>
  <w:style w:type="paragraph" w:customStyle="1" w:styleId="ParaNumbered">
    <w:name w:val="Para Numbered"/>
    <w:basedOn w:val="ParaBullet"/>
    <w:rsid w:val="0067450E"/>
    <w:pPr>
      <w:numPr>
        <w:numId w:val="6"/>
      </w:numPr>
    </w:pPr>
  </w:style>
  <w:style w:type="paragraph" w:customStyle="1" w:styleId="Space">
    <w:name w:val="Space"/>
    <w:basedOn w:val="Normal"/>
    <w:rsid w:val="0067450E"/>
    <w:pPr>
      <w:spacing w:line="320" w:lineRule="atLeast"/>
    </w:pPr>
    <w:rPr>
      <w:szCs w:val="20"/>
    </w:rPr>
  </w:style>
  <w:style w:type="paragraph" w:customStyle="1" w:styleId="Subject">
    <w:name w:val="Subject"/>
    <w:basedOn w:val="Normal"/>
    <w:next w:val="PlainText"/>
    <w:rsid w:val="0067450E"/>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customStyle="1" w:styleId="MoENumberedList">
    <w:name w:val="MoE: Numbered List"/>
    <w:basedOn w:val="ListNumber"/>
    <w:link w:val="MoENumberedListChar"/>
    <w:qFormat/>
    <w:rsid w:val="00163B79"/>
    <w:pPr>
      <w:spacing w:after="240"/>
    </w:pPr>
    <w:rPr>
      <w:rFonts w:ascii="Arial" w:hAnsi="Arial"/>
      <w:sz w:val="20"/>
    </w:rPr>
  </w:style>
  <w:style w:type="character" w:customStyle="1" w:styleId="MoENumberedListChar">
    <w:name w:val="MoE: Numbered List Char"/>
    <w:basedOn w:val="DefaultParagraphFont"/>
    <w:link w:val="MoENumberedList"/>
    <w:rsid w:val="00163B79"/>
    <w:rPr>
      <w:rFonts w:ascii="Arial" w:eastAsiaTheme="minorHAnsi" w:hAnsi="Arial" w:cstheme="minorBidi"/>
      <w:szCs w:val="22"/>
      <w:lang w:eastAsia="en-US"/>
    </w:rPr>
  </w:style>
  <w:style w:type="paragraph" w:styleId="ListNumber">
    <w:name w:val="List Number"/>
    <w:basedOn w:val="Normal"/>
    <w:uiPriority w:val="99"/>
    <w:semiHidden/>
    <w:unhideWhenUsed/>
    <w:rsid w:val="00163B79"/>
    <w:pPr>
      <w:ind w:left="502" w:hanging="360"/>
      <w:contextualSpacing/>
    </w:p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163B79"/>
    <w:pPr>
      <w:ind w:left="720"/>
      <w:contextualSpacing/>
    </w:pPr>
    <w:rPr>
      <w:rFonts w:eastAsia="Times New Roman" w:cs="Times New Roman"/>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163B79"/>
    <w:rPr>
      <w:rFonts w:ascii="Tahoma" w:hAnsi="Tahoma"/>
      <w:sz w:val="24"/>
      <w:szCs w:val="24"/>
      <w:lang w:val="en-AU" w:eastAsia="en-US"/>
    </w:rPr>
  </w:style>
  <w:style w:type="paragraph" w:styleId="FootnoteText">
    <w:name w:val="footnote text"/>
    <w:basedOn w:val="Normal"/>
    <w:link w:val="FootnoteTextChar"/>
    <w:uiPriority w:val="99"/>
    <w:rsid w:val="00163B79"/>
    <w:rPr>
      <w:sz w:val="20"/>
      <w:szCs w:val="20"/>
    </w:rPr>
  </w:style>
  <w:style w:type="character" w:customStyle="1" w:styleId="FootnoteTextChar">
    <w:name w:val="Footnote Text Char"/>
    <w:basedOn w:val="DefaultParagraphFont"/>
    <w:link w:val="FootnoteText"/>
    <w:uiPriority w:val="99"/>
    <w:rsid w:val="00163B79"/>
    <w:rPr>
      <w:rFonts w:asciiTheme="minorHAnsi" w:eastAsiaTheme="minorHAnsi" w:hAnsiTheme="minorHAnsi" w:cstheme="minorBidi"/>
      <w:lang w:eastAsia="en-US"/>
    </w:rPr>
  </w:style>
  <w:style w:type="character" w:styleId="FootnoteReference">
    <w:name w:val="footnote reference"/>
    <w:basedOn w:val="DefaultParagraphFont"/>
    <w:uiPriority w:val="99"/>
    <w:rsid w:val="00163B79"/>
    <w:rPr>
      <w:vertAlign w:val="superscript"/>
    </w:rPr>
  </w:style>
  <w:style w:type="paragraph" w:customStyle="1" w:styleId="TRNormal">
    <w:name w:val="_TRNormal"/>
    <w:rsid w:val="00163B79"/>
    <w:pPr>
      <w:ind w:left="567" w:hanging="567"/>
    </w:pPr>
    <w:rPr>
      <w:rFonts w:ascii="Arial" w:hAnsi="Arial"/>
      <w:sz w:val="22"/>
      <w:lang w:eastAsia="en-US"/>
    </w:rPr>
  </w:style>
  <w:style w:type="paragraph" w:customStyle="1" w:styleId="MoEHeading3">
    <w:name w:val="MoE: Heading 3"/>
    <w:basedOn w:val="Heading3"/>
    <w:next w:val="Normal"/>
    <w:link w:val="MoEHeading3Char"/>
    <w:rsid w:val="00163B79"/>
    <w:pPr>
      <w:keepLines/>
      <w:spacing w:before="200" w:after="120" w:line="240" w:lineRule="atLeast"/>
    </w:pPr>
    <w:rPr>
      <w:rFonts w:eastAsiaTheme="majorEastAsia" w:cstheme="majorBidi"/>
      <w:i w:val="0"/>
      <w:color w:val="3F92CF"/>
      <w:sz w:val="20"/>
      <w:szCs w:val="24"/>
    </w:rPr>
  </w:style>
  <w:style w:type="character" w:customStyle="1" w:styleId="MoEHeading3Char">
    <w:name w:val="MoE: Heading 3 Char"/>
    <w:basedOn w:val="DefaultParagraphFont"/>
    <w:link w:val="MoEHeading3"/>
    <w:rsid w:val="00163B79"/>
    <w:rPr>
      <w:rFonts w:ascii="Arial" w:eastAsiaTheme="majorEastAsia" w:hAnsi="Arial" w:cstheme="majorBidi"/>
      <w:b/>
      <w:color w:val="3F92CF"/>
      <w:szCs w:val="24"/>
      <w:lang w:eastAsia="en-US"/>
    </w:rPr>
  </w:style>
  <w:style w:type="paragraph" w:styleId="ListBullet2">
    <w:name w:val="List Bullet 2"/>
    <w:basedOn w:val="Normal"/>
    <w:uiPriority w:val="99"/>
    <w:semiHidden/>
    <w:rsid w:val="00163B79"/>
    <w:pPr>
      <w:numPr>
        <w:numId w:val="20"/>
      </w:numPr>
      <w:contextualSpacing/>
    </w:pPr>
  </w:style>
  <w:style w:type="character" w:customStyle="1" w:styleId="FooterChar">
    <w:name w:val="Footer Char"/>
    <w:basedOn w:val="DefaultParagraphFont"/>
    <w:link w:val="Footer"/>
    <w:uiPriority w:val="99"/>
    <w:rsid w:val="000872CB"/>
    <w:rPr>
      <w:rFonts w:ascii="Arial" w:eastAsiaTheme="minorHAnsi" w:hAnsi="Arial" w:cstheme="minorBidi"/>
      <w:sz w:val="15"/>
      <w:lang w:eastAsia="en-US"/>
    </w:rPr>
  </w:style>
  <w:style w:type="paragraph" w:customStyle="1" w:styleId="BlueSubheading3">
    <w:name w:val="Blue Subheading 3"/>
    <w:basedOn w:val="Heading3"/>
    <w:qFormat/>
    <w:rsid w:val="008E0B3F"/>
    <w:pPr>
      <w:keepLines/>
      <w:spacing w:before="200" w:after="120" w:line="240" w:lineRule="atLeast"/>
    </w:pPr>
    <w:rPr>
      <w:rFonts w:eastAsiaTheme="majorEastAsia" w:cstheme="majorBidi"/>
      <w:bCs/>
      <w:i w:val="0"/>
      <w:color w:val="3472AC"/>
      <w:sz w:val="20"/>
      <w:szCs w:val="22"/>
    </w:rPr>
  </w:style>
  <w:style w:type="paragraph" w:styleId="CommentText">
    <w:name w:val="annotation text"/>
    <w:basedOn w:val="Normal"/>
    <w:link w:val="CommentTextChar"/>
    <w:uiPriority w:val="99"/>
    <w:semiHidden/>
    <w:unhideWhenUsed/>
    <w:rsid w:val="00266C57"/>
    <w:rPr>
      <w:sz w:val="20"/>
      <w:szCs w:val="20"/>
    </w:rPr>
  </w:style>
  <w:style w:type="character" w:customStyle="1" w:styleId="CommentTextChar">
    <w:name w:val="Comment Text Char"/>
    <w:basedOn w:val="DefaultParagraphFont"/>
    <w:link w:val="CommentText"/>
    <w:uiPriority w:val="99"/>
    <w:semiHidden/>
    <w:rsid w:val="00266C57"/>
    <w:rPr>
      <w:rFonts w:ascii="Tahoma" w:eastAsiaTheme="minorHAnsi" w:hAnsi="Tahoma" w:cstheme="minorBidi"/>
      <w:lang w:val="en-AU" w:eastAsia="en-US"/>
    </w:rPr>
  </w:style>
  <w:style w:type="paragraph" w:styleId="CommentSubject">
    <w:name w:val="annotation subject"/>
    <w:basedOn w:val="CommentText"/>
    <w:next w:val="CommentText"/>
    <w:link w:val="CommentSubjectChar"/>
    <w:uiPriority w:val="99"/>
    <w:semiHidden/>
    <w:unhideWhenUsed/>
    <w:rsid w:val="00266C57"/>
    <w:rPr>
      <w:b/>
      <w:bCs/>
    </w:rPr>
  </w:style>
  <w:style w:type="character" w:customStyle="1" w:styleId="CommentSubjectChar">
    <w:name w:val="Comment Subject Char"/>
    <w:basedOn w:val="CommentTextChar"/>
    <w:link w:val="CommentSubject"/>
    <w:uiPriority w:val="99"/>
    <w:semiHidden/>
    <w:rsid w:val="00266C57"/>
    <w:rPr>
      <w:rFonts w:ascii="Tahoma" w:eastAsiaTheme="minorHAnsi" w:hAnsi="Tahoma" w:cstheme="minorBidi"/>
      <w:b/>
      <w:bCs/>
      <w:lang w:val="en-AU" w:eastAsia="en-US"/>
    </w:rPr>
  </w:style>
  <w:style w:type="paragraph" w:styleId="BalloonText">
    <w:name w:val="Balloon Text"/>
    <w:basedOn w:val="Normal"/>
    <w:link w:val="BalloonTextChar"/>
    <w:uiPriority w:val="99"/>
    <w:semiHidden/>
    <w:unhideWhenUsed/>
    <w:rsid w:val="00266C57"/>
    <w:rPr>
      <w:rFonts w:cs="Tahoma"/>
      <w:sz w:val="16"/>
      <w:szCs w:val="16"/>
    </w:rPr>
  </w:style>
  <w:style w:type="character" w:customStyle="1" w:styleId="BalloonTextChar">
    <w:name w:val="Balloon Text Char"/>
    <w:basedOn w:val="DefaultParagraphFont"/>
    <w:link w:val="BalloonText"/>
    <w:uiPriority w:val="99"/>
    <w:semiHidden/>
    <w:rsid w:val="00266C57"/>
    <w:rPr>
      <w:rFonts w:ascii="Tahoma" w:eastAsiaTheme="minorHAnsi" w:hAnsi="Tahoma" w:cs="Tahoma"/>
      <w:sz w:val="16"/>
      <w:szCs w:val="16"/>
      <w:lang w:val="en-AU" w:eastAsia="en-US"/>
    </w:rPr>
  </w:style>
  <w:style w:type="table" w:styleId="TableGrid">
    <w:name w:val="Table Grid"/>
    <w:basedOn w:val="TableNormal"/>
    <w:uiPriority w:val="59"/>
    <w:rsid w:val="00F65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EBodyText">
    <w:name w:val="MoE: Body Text"/>
    <w:basedOn w:val="Normal"/>
    <w:link w:val="MoEBodyTextChar"/>
    <w:qFormat/>
    <w:rsid w:val="00177BD4"/>
    <w:pPr>
      <w:spacing w:after="240" w:line="240" w:lineRule="atLeast"/>
    </w:pPr>
    <w:rPr>
      <w:rFonts w:ascii="Arial" w:hAnsi="Arial"/>
      <w:sz w:val="20"/>
      <w:szCs w:val="20"/>
      <w:lang w:val="en-NZ"/>
    </w:rPr>
  </w:style>
  <w:style w:type="character" w:customStyle="1" w:styleId="MoEBodyTextChar">
    <w:name w:val="MoE: Body Text Char"/>
    <w:basedOn w:val="DefaultParagraphFont"/>
    <w:link w:val="MoEBodyText"/>
    <w:rsid w:val="00177BD4"/>
    <w:rPr>
      <w:rFonts w:ascii="Arial" w:eastAsiaTheme="minorHAnsi" w:hAnsi="Arial" w:cstheme="minorBidi"/>
      <w:lang w:eastAsia="en-US"/>
    </w:rPr>
  </w:style>
  <w:style w:type="table" w:customStyle="1" w:styleId="FiveGoals">
    <w:name w:val="Five Goals"/>
    <w:basedOn w:val="TableNormal"/>
    <w:uiPriority w:val="99"/>
    <w:rsid w:val="00177BD4"/>
    <w:pPr>
      <w:spacing w:before="120" w:after="120"/>
      <w:ind w:left="113"/>
    </w:pPr>
    <w:rPr>
      <w:rFonts w:ascii="Arial" w:eastAsiaTheme="minorHAnsi" w:hAnsi="Arial" w:cstheme="minorBidi"/>
      <w:szCs w:val="22"/>
      <w:lang w:eastAsia="en-US"/>
    </w:rPr>
    <w:tblP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82C3-2D55-4047-9880-09A954C0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2586</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McLean</dc:creator>
  <cp:lastModifiedBy>Melissa Idiens</cp:lastModifiedBy>
  <cp:revision>22</cp:revision>
  <cp:lastPrinted>2016-06-02T20:55:00Z</cp:lastPrinted>
  <dcterms:created xsi:type="dcterms:W3CDTF">2016-05-26T00:18:00Z</dcterms:created>
  <dcterms:modified xsi:type="dcterms:W3CDTF">2016-06-24T00:32:00Z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