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82" w:rsidRPr="002B3091" w:rsidRDefault="00ED6382" w:rsidP="00ED6382">
      <w:pPr>
        <w:pStyle w:val="MoECoverPageHeading"/>
        <w:rPr>
          <w:sz w:val="16"/>
          <w:szCs w:val="16"/>
        </w:rPr>
      </w:pPr>
    </w:p>
    <w:p w:rsidR="00A30967" w:rsidRPr="00782E5D" w:rsidRDefault="00ED1CCE" w:rsidP="00A30967">
      <w:pPr>
        <w:pStyle w:val="MoECoverPageHeading"/>
        <w:rPr>
          <w:i/>
          <w:color w:val="DE6420"/>
          <w:sz w:val="36"/>
          <w:szCs w:val="36"/>
        </w:rPr>
      </w:pPr>
      <w:r>
        <w:rPr>
          <w:color w:val="DE6420"/>
        </w:rPr>
        <w:t>Assistive Technology</w:t>
      </w:r>
      <w:r w:rsidR="004225C7">
        <w:rPr>
          <w:color w:val="DE6420"/>
        </w:rPr>
        <w:t xml:space="preserve"> Info </w:t>
      </w:r>
      <w:r w:rsidR="00D775C7">
        <w:rPr>
          <w:color w:val="DE6420"/>
        </w:rPr>
        <w:t>sheet</w:t>
      </w:r>
    </w:p>
    <w:p w:rsidR="00ED1CCE" w:rsidRPr="00A10BDD" w:rsidRDefault="002F3219" w:rsidP="00A10BDD">
      <w:pPr>
        <w:pStyle w:val="MoECoverPageSubheading"/>
        <w:rPr>
          <w:color w:val="DE6420"/>
          <w:sz w:val="36"/>
        </w:rPr>
        <w:sectPr w:rsidR="00ED1CCE" w:rsidRPr="00A10BDD" w:rsidSect="0051263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docGrid w:linePitch="360"/>
        </w:sectPr>
      </w:pPr>
      <w:bookmarkStart w:id="0" w:name="_Toc416184927"/>
      <w:r>
        <w:rPr>
          <w:color w:val="DE6420"/>
          <w:sz w:val="36"/>
        </w:rPr>
        <w:t>Information for Schools</w:t>
      </w:r>
    </w:p>
    <w:bookmarkEnd w:id="0"/>
    <w:p w:rsidR="001740A7" w:rsidRPr="001740A7" w:rsidRDefault="001740A7" w:rsidP="001740A7">
      <w:pPr>
        <w:pStyle w:val="MoEHeading2"/>
        <w:spacing w:after="0"/>
        <w:rPr>
          <w:rFonts w:cs="Arial"/>
          <w:color w:val="DE6420"/>
        </w:rPr>
      </w:pPr>
      <w:r w:rsidRPr="001740A7">
        <w:rPr>
          <w:rFonts w:cs="Arial"/>
          <w:color w:val="DE6420"/>
        </w:rPr>
        <w:t>Who pays the courier costs of moving assistive technology between schools?</w:t>
      </w:r>
    </w:p>
    <w:p w:rsidR="001740A7" w:rsidRPr="001740A7" w:rsidRDefault="001740A7" w:rsidP="00847A91">
      <w:pPr>
        <w:pStyle w:val="Text"/>
      </w:pPr>
      <w:r w:rsidRPr="001740A7">
        <w:t>Where possible, assistive technology should be moved with the student by the family and/or staff as part of a planned transition between schools.</w:t>
      </w:r>
    </w:p>
    <w:p w:rsidR="002F3219" w:rsidRPr="002F3219" w:rsidRDefault="002F3219" w:rsidP="002F3219">
      <w:pPr>
        <w:pStyle w:val="MoEHeading2"/>
        <w:spacing w:after="0"/>
        <w:rPr>
          <w:rFonts w:cs="Arial"/>
          <w:color w:val="DE6420"/>
        </w:rPr>
      </w:pPr>
      <w:r w:rsidRPr="002F3219">
        <w:rPr>
          <w:rFonts w:cs="Arial"/>
          <w:color w:val="DE6420"/>
        </w:rPr>
        <w:t>What does the school need to do when a student is allocated assistive technology?</w:t>
      </w:r>
    </w:p>
    <w:p w:rsidR="002F3219" w:rsidRPr="002F3219" w:rsidRDefault="002F3219" w:rsidP="00847A91">
      <w:pPr>
        <w:pStyle w:val="Text"/>
        <w:rPr>
          <w:rFonts w:cs="Arial"/>
          <w:szCs w:val="20"/>
          <w:highlight w:val="yellow"/>
        </w:rPr>
      </w:pPr>
      <w:r w:rsidRPr="002F3219">
        <w:rPr>
          <w:rFonts w:cs="Arial"/>
          <w:szCs w:val="20"/>
        </w:rPr>
        <w:t>The Ministry of Education has provided you with assistive technology based on your application. It is allocated to the named student to meet their identified learning needs.</w:t>
      </w:r>
      <w:r w:rsidRPr="002F3219">
        <w:rPr>
          <w:rFonts w:cs="Arial"/>
          <w:szCs w:val="20"/>
          <w:highlight w:val="yellow"/>
        </w:rPr>
        <w:t xml:space="preserve"> </w:t>
      </w:r>
    </w:p>
    <w:p w:rsidR="002F3219" w:rsidRPr="002F3219" w:rsidRDefault="002F3219" w:rsidP="00847A91">
      <w:pPr>
        <w:pStyle w:val="Text"/>
        <w:rPr>
          <w:rFonts w:cs="Arial"/>
          <w:szCs w:val="20"/>
          <w:lang w:val="en-NZ"/>
        </w:rPr>
      </w:pPr>
      <w:r w:rsidRPr="002F3219">
        <w:rPr>
          <w:rFonts w:cs="Arial"/>
          <w:szCs w:val="20"/>
        </w:rPr>
        <w:t xml:space="preserve">The school is allocated assistive technology directly from the Ministry of Education, or funded to purchase </w:t>
      </w:r>
      <w:r w:rsidRPr="002F3219">
        <w:rPr>
          <w:rFonts w:cs="Arial"/>
          <w:szCs w:val="20"/>
          <w:lang w:val="en-NZ"/>
        </w:rPr>
        <w:t>assistive technology as per the approved application.  As outline</w:t>
      </w:r>
      <w:r w:rsidR="00847A91">
        <w:rPr>
          <w:rFonts w:cs="Arial"/>
          <w:szCs w:val="20"/>
          <w:lang w:val="en-NZ"/>
        </w:rPr>
        <w:t>d on the Application Form, the s</w:t>
      </w:r>
      <w:r w:rsidRPr="002F3219">
        <w:rPr>
          <w:rFonts w:cs="Arial"/>
          <w:szCs w:val="20"/>
          <w:lang w:val="en-NZ"/>
        </w:rPr>
        <w:t>chool has agreed to the following processes and conditions.</w:t>
      </w:r>
    </w:p>
    <w:p w:rsidR="002F3219" w:rsidRPr="002F3219" w:rsidRDefault="00847A91" w:rsidP="002F32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</w:t>
      </w:r>
      <w:r w:rsidR="002F3219" w:rsidRPr="002F3219">
        <w:rPr>
          <w:rFonts w:ascii="Arial" w:hAnsi="Arial" w:cs="Arial"/>
          <w:sz w:val="20"/>
          <w:szCs w:val="20"/>
        </w:rPr>
        <w:t>chool will:</w:t>
      </w:r>
    </w:p>
    <w:p w:rsidR="002F3219" w:rsidRPr="00DE0F62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 w:rsidRPr="00D73FD0">
        <w:rPr>
          <w:b/>
          <w:lang w:val="en-NZ"/>
        </w:rPr>
        <w:t>assume ownership</w:t>
      </w:r>
      <w:r w:rsidRPr="0038554D">
        <w:rPr>
          <w:lang w:val="en-NZ"/>
        </w:rPr>
        <w:t xml:space="preserve"> </w:t>
      </w:r>
      <w:r w:rsidRPr="00DE0F62">
        <w:rPr>
          <w:lang w:val="en-NZ"/>
        </w:rPr>
        <w:t xml:space="preserve">of the </w:t>
      </w:r>
      <w:r>
        <w:rPr>
          <w:lang w:val="en-NZ"/>
        </w:rPr>
        <w:t>assistive technology</w:t>
      </w:r>
      <w:r w:rsidRPr="00DE0F62">
        <w:rPr>
          <w:lang w:val="en-NZ"/>
        </w:rPr>
        <w:t xml:space="preserve"> for the time that the student is enrolled in the school, including listing the technology on the school’s asset register, and maintaining a record of the serial numbers and asset numbers or o</w:t>
      </w:r>
      <w:bookmarkStart w:id="1" w:name="_GoBack"/>
      <w:bookmarkEnd w:id="1"/>
      <w:r w:rsidRPr="00DE0F62">
        <w:rPr>
          <w:lang w:val="en-NZ"/>
        </w:rPr>
        <w:t>ther descriptions of the approved technology along with supplier details and warranty conditions</w:t>
      </w:r>
    </w:p>
    <w:p w:rsidR="002F3219" w:rsidRPr="00213327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 w:rsidRPr="00213327">
        <w:rPr>
          <w:lang w:eastAsia="en-GB"/>
        </w:rPr>
        <w:t xml:space="preserve">provide proof of purchase </w:t>
      </w:r>
      <w:r w:rsidRPr="00213327">
        <w:rPr>
          <w:lang w:val="en-NZ"/>
        </w:rPr>
        <w:t xml:space="preserve">send a copy of the invoice and serial numbers to </w:t>
      </w:r>
      <w:r>
        <w:rPr>
          <w:lang w:val="en-NZ"/>
        </w:rPr>
        <w:t>the Ministry</w:t>
      </w:r>
      <w:r w:rsidRPr="00213327">
        <w:rPr>
          <w:lang w:val="en-NZ"/>
        </w:rPr>
        <w:t xml:space="preserve"> for their records (this is requested on the review form but may be provided separately) </w:t>
      </w:r>
    </w:p>
    <w:p w:rsidR="00847A91" w:rsidRPr="00B35FFD" w:rsidRDefault="00847A91" w:rsidP="00847A91">
      <w:pPr>
        <w:pStyle w:val="Bullet"/>
        <w:widowControl/>
        <w:adjustRightInd/>
        <w:textAlignment w:val="auto"/>
        <w:rPr>
          <w:lang w:val="en-NZ"/>
        </w:rPr>
      </w:pPr>
      <w:r w:rsidRPr="00B35FFD">
        <w:rPr>
          <w:lang w:val="en-NZ"/>
        </w:rPr>
        <w:t xml:space="preserve">take responsibility for insurance of the technology (please refer to the </w:t>
      </w:r>
      <w:hyperlink r:id="rId12" w:history="1">
        <w:r w:rsidRPr="00B35FFD">
          <w:rPr>
            <w:rStyle w:val="Hyperlink"/>
            <w:rFonts w:eastAsiaTheme="majorEastAsia"/>
            <w:lang w:val="en-NZ"/>
          </w:rPr>
          <w:t>Insurance &amp; Re</w:t>
        </w:r>
        <w:r w:rsidRPr="00B35FFD">
          <w:rPr>
            <w:rStyle w:val="Hyperlink"/>
            <w:rFonts w:eastAsiaTheme="majorEastAsia"/>
            <w:lang w:val="en-NZ"/>
          </w:rPr>
          <w:t>p</w:t>
        </w:r>
        <w:r w:rsidRPr="00B35FFD">
          <w:rPr>
            <w:rStyle w:val="Hyperlink"/>
            <w:rFonts w:eastAsiaTheme="majorEastAsia"/>
            <w:lang w:val="en-NZ"/>
          </w:rPr>
          <w:t>airs Fact Sheet</w:t>
        </w:r>
      </w:hyperlink>
      <w:r w:rsidRPr="00B35FFD">
        <w:rPr>
          <w:lang w:val="en-NZ"/>
        </w:rPr>
        <w:t xml:space="preserve"> to find out about the Ministry of Education’s continued support in case of theft, loss or damage). </w:t>
      </w:r>
      <w:r>
        <w:rPr>
          <w:lang w:val="en-NZ"/>
        </w:rPr>
        <w:t>C</w:t>
      </w:r>
      <w:r w:rsidRPr="00B35FFD">
        <w:rPr>
          <w:lang w:val="en-NZ"/>
        </w:rPr>
        <w:t>ontact the local Ministry  office for advice if the item needs extensive repair, maintenance or replacement</w:t>
      </w:r>
    </w:p>
    <w:p w:rsidR="00847A91" w:rsidRDefault="00847A91" w:rsidP="00847A91">
      <w:pPr>
        <w:pStyle w:val="Bullet"/>
        <w:widowControl/>
        <w:adjustRightInd/>
        <w:textAlignment w:val="auto"/>
        <w:rPr>
          <w:lang w:val="en-NZ"/>
        </w:rPr>
      </w:pPr>
      <w:r w:rsidRPr="00DE0F62">
        <w:rPr>
          <w:lang w:val="en-NZ"/>
        </w:rPr>
        <w:t>take responsibility</w:t>
      </w:r>
      <w:r>
        <w:rPr>
          <w:lang w:val="en-NZ"/>
        </w:rPr>
        <w:t xml:space="preserve"> (with Ministry support)</w:t>
      </w:r>
      <w:r w:rsidRPr="00DE0F62">
        <w:rPr>
          <w:lang w:val="en-NZ"/>
        </w:rPr>
        <w:t xml:space="preserve"> for ensuring the safekeeping of all technology items including original software, manuals and accessories etc. (as documented in the management plan where applicable)</w:t>
      </w:r>
    </w:p>
    <w:p w:rsidR="00847A91" w:rsidRPr="00847A91" w:rsidRDefault="00847A91" w:rsidP="00847A91">
      <w:pPr>
        <w:pStyle w:val="Bullet"/>
        <w:widowControl/>
        <w:adjustRightInd/>
        <w:textAlignment w:val="auto"/>
        <w:rPr>
          <w:lang w:val="en-NZ"/>
        </w:rPr>
      </w:pPr>
      <w:r w:rsidRPr="00213327">
        <w:rPr>
          <w:lang w:val="en-NZ"/>
        </w:rPr>
        <w:t xml:space="preserve">label technology with stickers provided by </w:t>
      </w:r>
      <w:r>
        <w:rPr>
          <w:lang w:val="en-NZ"/>
        </w:rPr>
        <w:t>the Ministry</w:t>
      </w:r>
    </w:p>
    <w:p w:rsidR="002F3219" w:rsidRPr="00213327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 w:rsidRPr="00213327">
        <w:rPr>
          <w:lang w:val="en-NZ"/>
        </w:rPr>
        <w:t>ensure that the technology is used for the intended purpose by the student it is allocated to</w:t>
      </w:r>
    </w:p>
    <w:p w:rsidR="002F3219" w:rsidRPr="00DE0F62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 w:rsidRPr="00DE0F62">
        <w:rPr>
          <w:lang w:val="en-NZ"/>
        </w:rPr>
        <w:t>support the implementation and ongoing use of the technology within the school including the implementation of the agreed training plan if applicable</w:t>
      </w:r>
    </w:p>
    <w:p w:rsidR="002F3219" w:rsidRPr="00DE0F62" w:rsidRDefault="002F3219" w:rsidP="00847A91">
      <w:pPr>
        <w:pStyle w:val="Bullet"/>
        <w:widowControl/>
        <w:adjustRightInd/>
        <w:textAlignment w:val="auto"/>
      </w:pPr>
      <w:r w:rsidRPr="00DE0F62">
        <w:t xml:space="preserve">load appropriate school software to support the student.  This includes generic programs used in the school such as Microsoft Office and virus software </w:t>
      </w:r>
      <w:r w:rsidRPr="00DE0F62">
        <w:rPr>
          <w:lang w:val="en-NZ"/>
        </w:rPr>
        <w:t xml:space="preserve">and </w:t>
      </w:r>
      <w:r>
        <w:rPr>
          <w:lang w:val="en-NZ"/>
        </w:rPr>
        <w:t xml:space="preserve">provision of </w:t>
      </w:r>
      <w:r w:rsidRPr="00DE0F62">
        <w:rPr>
          <w:lang w:val="en-NZ"/>
        </w:rPr>
        <w:t>access to school networks if appropriate</w:t>
      </w:r>
    </w:p>
    <w:p w:rsidR="002F3219" w:rsidRPr="00DE0F62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 w:rsidRPr="00DD7C5B">
        <w:t>review a</w:t>
      </w:r>
      <w:r w:rsidRPr="00DE0F62">
        <w:t xml:space="preserve">llocated </w:t>
      </w:r>
      <w:r>
        <w:t>assistive technology</w:t>
      </w:r>
      <w:r w:rsidRPr="00DE0F62">
        <w:t xml:space="preserve"> regularly and at each transition for the student.  A formal review of the </w:t>
      </w:r>
      <w:r>
        <w:t>assistive technology</w:t>
      </w:r>
      <w:r w:rsidRPr="00DE0F62">
        <w:t xml:space="preserve"> should be completed about six months after allocation (or at the next scheduled IEP meeting).  Please complete and return </w:t>
      </w:r>
      <w:r w:rsidRPr="00B215D9">
        <w:t>the</w:t>
      </w:r>
      <w:r w:rsidRPr="00B215D9">
        <w:rPr>
          <w:rStyle w:val="TextChar"/>
        </w:rPr>
        <w:t xml:space="preserve"> </w:t>
      </w:r>
      <w:hyperlink r:id="rId13" w:history="1">
        <w:r w:rsidRPr="00B215D9">
          <w:rPr>
            <w:rStyle w:val="Hyperlink"/>
            <w:rFonts w:eastAsiaTheme="majorEastAsia"/>
          </w:rPr>
          <w:t>Revie</w:t>
        </w:r>
        <w:r w:rsidRPr="00B215D9">
          <w:rPr>
            <w:rStyle w:val="Hyperlink"/>
            <w:rFonts w:eastAsiaTheme="majorEastAsia"/>
          </w:rPr>
          <w:t>w</w:t>
        </w:r>
        <w:r w:rsidRPr="00B215D9">
          <w:rPr>
            <w:rStyle w:val="Hyperlink"/>
            <w:rFonts w:eastAsiaTheme="majorEastAsia"/>
          </w:rPr>
          <w:t xml:space="preserve"> Form</w:t>
        </w:r>
      </w:hyperlink>
      <w:r w:rsidRPr="00DE0F62">
        <w:t xml:space="preserve"> to the Ministry of Education at that time</w:t>
      </w:r>
    </w:p>
    <w:p w:rsidR="002F3219" w:rsidRPr="00DE0F62" w:rsidRDefault="002F3219" w:rsidP="00847A91">
      <w:pPr>
        <w:pStyle w:val="Bullet"/>
        <w:widowControl/>
        <w:adjustRightInd/>
        <w:textAlignment w:val="auto"/>
        <w:rPr>
          <w:lang w:val="en-NZ"/>
        </w:rPr>
      </w:pPr>
      <w:r>
        <w:rPr>
          <w:lang w:val="en-NZ"/>
        </w:rPr>
        <w:t xml:space="preserve">notify </w:t>
      </w:r>
      <w:r w:rsidRPr="00DE0F62">
        <w:rPr>
          <w:lang w:val="en-NZ"/>
        </w:rPr>
        <w:t xml:space="preserve">the local </w:t>
      </w:r>
      <w:r>
        <w:rPr>
          <w:lang w:val="en-NZ"/>
        </w:rPr>
        <w:t>Ministry</w:t>
      </w:r>
      <w:r w:rsidRPr="00DE0F62">
        <w:rPr>
          <w:lang w:val="en-NZ"/>
        </w:rPr>
        <w:t xml:space="preserve"> office when the named student transfers to another school or leaves school, and ensure that the </w:t>
      </w:r>
      <w:r>
        <w:rPr>
          <w:lang w:val="en-NZ"/>
        </w:rPr>
        <w:t>assistive technology</w:t>
      </w:r>
      <w:r w:rsidRPr="00DE0F62">
        <w:rPr>
          <w:lang w:val="en-NZ"/>
        </w:rPr>
        <w:t xml:space="preserve"> transfers to the new school with the student OR is returned </w:t>
      </w:r>
      <w:r>
        <w:rPr>
          <w:lang w:val="en-NZ"/>
        </w:rPr>
        <w:t xml:space="preserve">(transferred) </w:t>
      </w:r>
      <w:r w:rsidRPr="00DE0F62">
        <w:rPr>
          <w:lang w:val="en-NZ"/>
        </w:rPr>
        <w:t xml:space="preserve">to </w:t>
      </w:r>
      <w:r>
        <w:rPr>
          <w:lang w:val="en-NZ"/>
        </w:rPr>
        <w:t>the Ministry of Education</w:t>
      </w:r>
    </w:p>
    <w:p w:rsidR="00B35FFD" w:rsidRDefault="00B35FFD" w:rsidP="00847A91">
      <w:pPr>
        <w:pStyle w:val="Text"/>
        <w:rPr>
          <w:lang w:eastAsia="en-NZ"/>
        </w:rPr>
      </w:pPr>
    </w:p>
    <w:p w:rsidR="00B35FFD" w:rsidRDefault="00B35FFD" w:rsidP="00847A91">
      <w:pPr>
        <w:pStyle w:val="Text"/>
        <w:rPr>
          <w:lang w:eastAsia="en-NZ"/>
        </w:rPr>
      </w:pPr>
    </w:p>
    <w:p w:rsidR="002F3219" w:rsidRPr="00DE0F62" w:rsidRDefault="002F3219" w:rsidP="00847A91">
      <w:pPr>
        <w:pStyle w:val="Text"/>
        <w:rPr>
          <w:lang w:eastAsia="en-NZ"/>
        </w:rPr>
      </w:pPr>
      <w:r w:rsidRPr="00DE0F62">
        <w:rPr>
          <w:lang w:eastAsia="en-NZ"/>
        </w:rPr>
        <w:lastRenderedPageBreak/>
        <w:t xml:space="preserve">The school lists the </w:t>
      </w:r>
      <w:r>
        <w:rPr>
          <w:lang w:eastAsia="en-NZ"/>
        </w:rPr>
        <w:t>assistive technology</w:t>
      </w:r>
      <w:r w:rsidRPr="00DE0F62">
        <w:rPr>
          <w:lang w:eastAsia="en-NZ"/>
        </w:rPr>
        <w:t xml:space="preserve"> as a capital item (asset) and includes it on the school’s asset register.</w:t>
      </w:r>
    </w:p>
    <w:p w:rsidR="001740A7" w:rsidRDefault="00847A91" w:rsidP="00847A91">
      <w:pPr>
        <w:pStyle w:val="Text"/>
        <w:rPr>
          <w:lang w:eastAsia="en-NZ"/>
        </w:rPr>
      </w:pPr>
      <w:bookmarkStart w:id="2" w:name="_Toc280018599"/>
      <w:bookmarkStart w:id="3" w:name="_Toc280018716"/>
      <w:bookmarkStart w:id="4" w:name="_Toc280351741"/>
      <w:r>
        <w:rPr>
          <w:rFonts w:cs="Arial"/>
          <w:noProof/>
          <w:color w:val="1B3A79" w:themeColor="accent1" w:themeShade="BF"/>
          <w:sz w:val="32"/>
          <w:szCs w:val="32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.25pt;margin-top:65.75pt;width:467.6pt;height:56.1pt;z-index:-251658752;visibility:visible" fillcolor="#de6420" stroked="f">
            <v:shadow color="#164486" origin="-.5,-.5" offset=".1307mm,1.49431mm"/>
            <v:textbox style="mso-next-textbox:#Text Box 2" inset="4mm,4mm,4mm,4mm">
              <w:txbxContent>
                <w:p w:rsidR="0002602A" w:rsidRPr="00FE16FA" w:rsidRDefault="0002602A" w:rsidP="00ED1CCE">
                  <w:pPr>
                    <w:pStyle w:val="FeatureTextinbox"/>
                  </w:pPr>
                  <w:r>
                    <w:t>If you have any queries, please contact the assistive technology coordinator at your local Ministry of Education office.</w:t>
                  </w:r>
                  <w:r w:rsidRPr="006A2652">
                    <w:t xml:space="preserve"> </w:t>
                  </w:r>
                </w:p>
              </w:txbxContent>
            </v:textbox>
          </v:shape>
        </w:pict>
      </w:r>
      <w:bookmarkEnd w:id="2"/>
      <w:bookmarkEnd w:id="3"/>
      <w:bookmarkEnd w:id="4"/>
      <w:r w:rsidR="002F3219" w:rsidRPr="00DE0F62">
        <w:rPr>
          <w:lang w:eastAsia="en-NZ"/>
        </w:rPr>
        <w:t xml:space="preserve">When the student leaves the school, the item of </w:t>
      </w:r>
      <w:r w:rsidR="002F3219">
        <w:rPr>
          <w:lang w:eastAsia="en-NZ"/>
        </w:rPr>
        <w:t>assistive technology</w:t>
      </w:r>
      <w:r w:rsidR="002F3219" w:rsidRPr="00DE0F62">
        <w:rPr>
          <w:lang w:eastAsia="en-NZ"/>
        </w:rPr>
        <w:t xml:space="preserve"> is removed from the school’s asset register.  </w:t>
      </w:r>
      <w:r w:rsidR="002F3219" w:rsidRPr="00DE0F62">
        <w:t xml:space="preserve">If the </w:t>
      </w:r>
      <w:r w:rsidR="002F3219">
        <w:t>assistive technology</w:t>
      </w:r>
      <w:r w:rsidR="002F3219" w:rsidRPr="00DE0F62">
        <w:t xml:space="preserve"> no longer meets the student’s learning needs, </w:t>
      </w:r>
      <w:r w:rsidR="002F3219">
        <w:t>return it to Special Education.</w:t>
      </w:r>
    </w:p>
    <w:sectPr w:rsidR="001740A7" w:rsidSect="00B35FFD">
      <w:headerReference w:type="even" r:id="rId14"/>
      <w:headerReference w:type="default" r:id="rId15"/>
      <w:headerReference w:type="first" r:id="rId16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2A" w:rsidRDefault="0002602A" w:rsidP="00882F80">
      <w:pPr>
        <w:spacing w:after="0" w:line="240" w:lineRule="auto"/>
      </w:pPr>
      <w:r>
        <w:separator/>
      </w:r>
    </w:p>
  </w:endnote>
  <w:endnote w:type="continuationSeparator" w:id="0">
    <w:p w:rsidR="0002602A" w:rsidRDefault="0002602A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38543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309" w:rsidRPr="00832309" w:rsidRDefault="00832309" w:rsidP="00832309">
            <w:pPr>
              <w:pStyle w:val="Footer"/>
              <w:tabs>
                <w:tab w:val="clear" w:pos="4513"/>
                <w:tab w:val="clear" w:pos="9026"/>
                <w:tab w:val="left" w:pos="0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230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7A9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323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7A9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323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2633" w:rsidRDefault="00512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33" w:rsidRPr="00512633" w:rsidRDefault="0051263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2A" w:rsidRDefault="0002602A" w:rsidP="00882F80">
      <w:pPr>
        <w:spacing w:after="0" w:line="240" w:lineRule="auto"/>
      </w:pPr>
      <w:r>
        <w:separator/>
      </w:r>
    </w:p>
  </w:footnote>
  <w:footnote w:type="continuationSeparator" w:id="0">
    <w:p w:rsidR="0002602A" w:rsidRDefault="0002602A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5D" w:rsidRDefault="00F6295D">
    <w:pPr>
      <w:pStyle w:val="Header"/>
    </w:pPr>
    <w:r>
      <w:rPr>
        <w:noProof/>
        <w:lang w:eastAsia="en-NZ"/>
      </w:rPr>
      <w:drawing>
        <wp:inline distT="0" distB="0" distL="0" distR="0" wp14:anchorId="07C711B5" wp14:editId="7AFF13EF">
          <wp:extent cx="6175375" cy="894080"/>
          <wp:effectExtent l="0" t="0" r="0" b="0"/>
          <wp:docPr id="2" name="Picture 0" descr="Logo &amp; Triangle Banner (A4 Portrait) 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A" w:rsidRDefault="0002602A">
    <w:pPr>
      <w:pStyle w:val="Header"/>
    </w:pPr>
    <w:r>
      <w:rPr>
        <w:noProof/>
        <w:lang w:eastAsia="en-NZ"/>
      </w:rPr>
      <w:drawing>
        <wp:inline distT="0" distB="0" distL="0" distR="0">
          <wp:extent cx="6175375" cy="894080"/>
          <wp:effectExtent l="19050" t="0" r="0" b="0"/>
          <wp:docPr id="1" name="Picture 0" descr="Logo &amp; Triangle Banner (A4 Portrait) 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A" w:rsidRDefault="000260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A" w:rsidRDefault="00F17F14" w:rsidP="00E36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0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A91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02A" w:rsidRDefault="0002602A" w:rsidP="00E366A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A" w:rsidRDefault="00026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E6D7B"/>
    <w:multiLevelType w:val="multilevel"/>
    <w:tmpl w:val="D8BC37F4"/>
    <w:lvl w:ilvl="0">
      <w:start w:val="1"/>
      <w:numFmt w:val="decimal"/>
      <w:pStyle w:val="Numb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E0A471A"/>
    <w:multiLevelType w:val="hybridMultilevel"/>
    <w:tmpl w:val="7054BC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B01E0"/>
    <w:multiLevelType w:val="hybridMultilevel"/>
    <w:tmpl w:val="2BFA7508"/>
    <w:lvl w:ilvl="0" w:tplc="7628815E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F1C"/>
    <w:multiLevelType w:val="hybridMultilevel"/>
    <w:tmpl w:val="E4AC2BC8"/>
    <w:lvl w:ilvl="0" w:tplc="7628815E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5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59E49B5"/>
    <w:multiLevelType w:val="hybridMultilevel"/>
    <w:tmpl w:val="E82A34E4"/>
    <w:lvl w:ilvl="0" w:tplc="76288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7E49"/>
    <w:multiLevelType w:val="hybridMultilevel"/>
    <w:tmpl w:val="61B4AB36"/>
    <w:lvl w:ilvl="0" w:tplc="F950F552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3489"/>
    <w:multiLevelType w:val="hybridMultilevel"/>
    <w:tmpl w:val="5776CC38"/>
    <w:lvl w:ilvl="0" w:tplc="1409000F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01D0534"/>
    <w:multiLevelType w:val="hybridMultilevel"/>
    <w:tmpl w:val="92868380"/>
    <w:lvl w:ilvl="0" w:tplc="D0666204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8E3284A"/>
    <w:multiLevelType w:val="hybridMultilevel"/>
    <w:tmpl w:val="A9BAD0DE"/>
    <w:lvl w:ilvl="0" w:tplc="35520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A42FC2"/>
    <w:multiLevelType w:val="hybridMultilevel"/>
    <w:tmpl w:val="B128EFD4"/>
    <w:lvl w:ilvl="0" w:tplc="565431F8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1518CB"/>
    <w:multiLevelType w:val="hybridMultilevel"/>
    <w:tmpl w:val="ABEA9D0E"/>
    <w:lvl w:ilvl="0" w:tplc="1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4F93"/>
    <w:multiLevelType w:val="hybridMultilevel"/>
    <w:tmpl w:val="368ADF16"/>
    <w:lvl w:ilvl="0" w:tplc="D92C196C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1E3A05"/>
    <w:multiLevelType w:val="hybridMultilevel"/>
    <w:tmpl w:val="1F7C1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6FD0"/>
    <w:multiLevelType w:val="hybridMultilevel"/>
    <w:tmpl w:val="81BA2ED6"/>
    <w:lvl w:ilvl="0" w:tplc="FEF23656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276D"/>
    <w:multiLevelType w:val="hybridMultilevel"/>
    <w:tmpl w:val="298E7BAC"/>
    <w:lvl w:ilvl="0" w:tplc="1409000F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9"/>
    <w:lvlOverride w:ilvl="0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6"/>
  </w:num>
  <w:num w:numId="20">
    <w:abstractNumId w:val="4"/>
  </w:num>
  <w:num w:numId="21">
    <w:abstractNumId w:val="16"/>
  </w:num>
  <w:num w:numId="22">
    <w:abstractNumId w:val="8"/>
  </w:num>
  <w:num w:numId="23">
    <w:abstractNumId w:val="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57345">
      <o:colormru v:ext="edit" colors="#0063af,#2a6ebb"/>
      <o:colormenu v:ext="edit" fillcolor="#2a6ebb" strokecolor="none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6FDC"/>
    <w:rsid w:val="00006FB5"/>
    <w:rsid w:val="0002602A"/>
    <w:rsid w:val="0004224B"/>
    <w:rsid w:val="00047BAC"/>
    <w:rsid w:val="000644E3"/>
    <w:rsid w:val="0009169C"/>
    <w:rsid w:val="000933C9"/>
    <w:rsid w:val="000A5A25"/>
    <w:rsid w:val="000A5EA2"/>
    <w:rsid w:val="000F6F67"/>
    <w:rsid w:val="001233B0"/>
    <w:rsid w:val="001240F2"/>
    <w:rsid w:val="00126398"/>
    <w:rsid w:val="001532C9"/>
    <w:rsid w:val="00161D45"/>
    <w:rsid w:val="001740A7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5544F"/>
    <w:rsid w:val="00290667"/>
    <w:rsid w:val="002A13F2"/>
    <w:rsid w:val="002A5558"/>
    <w:rsid w:val="002B3091"/>
    <w:rsid w:val="002B58E8"/>
    <w:rsid w:val="002D3FB6"/>
    <w:rsid w:val="002E096A"/>
    <w:rsid w:val="002F3219"/>
    <w:rsid w:val="00330021"/>
    <w:rsid w:val="00331714"/>
    <w:rsid w:val="00390616"/>
    <w:rsid w:val="003A2808"/>
    <w:rsid w:val="003B172C"/>
    <w:rsid w:val="003B348C"/>
    <w:rsid w:val="003C1AD8"/>
    <w:rsid w:val="003E4C39"/>
    <w:rsid w:val="003F7C66"/>
    <w:rsid w:val="00410E6C"/>
    <w:rsid w:val="004225C7"/>
    <w:rsid w:val="0043397A"/>
    <w:rsid w:val="00443E43"/>
    <w:rsid w:val="00467383"/>
    <w:rsid w:val="004861AC"/>
    <w:rsid w:val="00493E8A"/>
    <w:rsid w:val="004B15C2"/>
    <w:rsid w:val="004C592F"/>
    <w:rsid w:val="004D450D"/>
    <w:rsid w:val="004E1F5D"/>
    <w:rsid w:val="004F272C"/>
    <w:rsid w:val="00512633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703435"/>
    <w:rsid w:val="0071393D"/>
    <w:rsid w:val="00751395"/>
    <w:rsid w:val="00755E5A"/>
    <w:rsid w:val="0077104A"/>
    <w:rsid w:val="007721BE"/>
    <w:rsid w:val="007818BC"/>
    <w:rsid w:val="00782E5D"/>
    <w:rsid w:val="007A21D0"/>
    <w:rsid w:val="007B1EDB"/>
    <w:rsid w:val="007B224F"/>
    <w:rsid w:val="007F3629"/>
    <w:rsid w:val="00802F68"/>
    <w:rsid w:val="00810E53"/>
    <w:rsid w:val="00832309"/>
    <w:rsid w:val="00847A91"/>
    <w:rsid w:val="00853D88"/>
    <w:rsid w:val="0086005E"/>
    <w:rsid w:val="00882F80"/>
    <w:rsid w:val="008B3AA0"/>
    <w:rsid w:val="00911F27"/>
    <w:rsid w:val="009236E4"/>
    <w:rsid w:val="00934C5D"/>
    <w:rsid w:val="00943642"/>
    <w:rsid w:val="0098258E"/>
    <w:rsid w:val="009C361F"/>
    <w:rsid w:val="009C6404"/>
    <w:rsid w:val="009C7F3F"/>
    <w:rsid w:val="009E3D96"/>
    <w:rsid w:val="009E6FDC"/>
    <w:rsid w:val="009E7820"/>
    <w:rsid w:val="009F1D0E"/>
    <w:rsid w:val="00A10BDD"/>
    <w:rsid w:val="00A2213F"/>
    <w:rsid w:val="00A26C6A"/>
    <w:rsid w:val="00A30967"/>
    <w:rsid w:val="00A624B0"/>
    <w:rsid w:val="00A86618"/>
    <w:rsid w:val="00A93605"/>
    <w:rsid w:val="00A975CB"/>
    <w:rsid w:val="00AB57E5"/>
    <w:rsid w:val="00AE25D9"/>
    <w:rsid w:val="00AE5FEA"/>
    <w:rsid w:val="00AF34FD"/>
    <w:rsid w:val="00AF4123"/>
    <w:rsid w:val="00B35FFD"/>
    <w:rsid w:val="00BC1E71"/>
    <w:rsid w:val="00C06558"/>
    <w:rsid w:val="00C23B48"/>
    <w:rsid w:val="00C36305"/>
    <w:rsid w:val="00C51159"/>
    <w:rsid w:val="00C74AB7"/>
    <w:rsid w:val="00CA47BB"/>
    <w:rsid w:val="00CB4EDF"/>
    <w:rsid w:val="00CD518E"/>
    <w:rsid w:val="00CE352C"/>
    <w:rsid w:val="00CE4BBE"/>
    <w:rsid w:val="00CE5BD6"/>
    <w:rsid w:val="00CE5D88"/>
    <w:rsid w:val="00CE7F08"/>
    <w:rsid w:val="00CF1480"/>
    <w:rsid w:val="00CF1982"/>
    <w:rsid w:val="00CF1AF9"/>
    <w:rsid w:val="00D11AA6"/>
    <w:rsid w:val="00D23436"/>
    <w:rsid w:val="00D459B8"/>
    <w:rsid w:val="00D46ECE"/>
    <w:rsid w:val="00D60F9A"/>
    <w:rsid w:val="00D64D49"/>
    <w:rsid w:val="00D658F0"/>
    <w:rsid w:val="00D71646"/>
    <w:rsid w:val="00D775C7"/>
    <w:rsid w:val="00D82ED9"/>
    <w:rsid w:val="00DA30FC"/>
    <w:rsid w:val="00DF10B3"/>
    <w:rsid w:val="00E048A1"/>
    <w:rsid w:val="00E35E76"/>
    <w:rsid w:val="00E366A9"/>
    <w:rsid w:val="00E61406"/>
    <w:rsid w:val="00E756D6"/>
    <w:rsid w:val="00E86C0A"/>
    <w:rsid w:val="00E87337"/>
    <w:rsid w:val="00E93750"/>
    <w:rsid w:val="00E958D3"/>
    <w:rsid w:val="00EA2306"/>
    <w:rsid w:val="00ED1CCE"/>
    <w:rsid w:val="00ED6382"/>
    <w:rsid w:val="00F17F14"/>
    <w:rsid w:val="00F6295D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0063af,#2a6ebb"/>
      <o:colormenu v:ext="edit" fillcolor="#2a6ebb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450D"/>
    <w:rPr>
      <w:color w:val="3EBBF0" w:themeColor="followedHyperlink"/>
      <w:u w:val="single"/>
    </w:rPr>
  </w:style>
  <w:style w:type="paragraph" w:customStyle="1" w:styleId="Text">
    <w:name w:val="Text"/>
    <w:basedOn w:val="Normal"/>
    <w:link w:val="TextChar"/>
    <w:rsid w:val="00ED1CCE"/>
    <w:pPr>
      <w:widowControl w:val="0"/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TextChar">
    <w:name w:val="Text Char"/>
    <w:basedOn w:val="DefaultParagraphFont"/>
    <w:link w:val="Text"/>
    <w:rsid w:val="00ED1CCE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">
    <w:name w:val="Bullet"/>
    <w:basedOn w:val="Normal"/>
    <w:link w:val="BulletChar"/>
    <w:rsid w:val="00ED1CCE"/>
    <w:pPr>
      <w:widowControl w:val="0"/>
      <w:numPr>
        <w:numId w:val="19"/>
      </w:numPr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ED1CCE"/>
  </w:style>
  <w:style w:type="paragraph" w:customStyle="1" w:styleId="Textsecondsubheading">
    <w:name w:val="Text second sub heading"/>
    <w:basedOn w:val="Normal"/>
    <w:next w:val="Text"/>
    <w:link w:val="TextsecondsubheadingChar"/>
    <w:rsid w:val="00ED1CCE"/>
    <w:pPr>
      <w:keepNext/>
      <w:widowControl w:val="0"/>
      <w:adjustRightInd w:val="0"/>
      <w:spacing w:before="240" w:after="100" w:line="240" w:lineRule="auto"/>
      <w:jc w:val="both"/>
      <w:textAlignment w:val="baseline"/>
    </w:pPr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TextsecondsubheadingChar">
    <w:name w:val="Text second sub heading Char"/>
    <w:basedOn w:val="DefaultParagraphFont"/>
    <w:link w:val="Textsecondsubheading"/>
    <w:rsid w:val="00E366A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Numbering">
    <w:name w:val="Numbering"/>
    <w:basedOn w:val="Normal"/>
    <w:rsid w:val="00E366A9"/>
    <w:pPr>
      <w:numPr>
        <w:numId w:val="20"/>
      </w:numPr>
      <w:spacing w:after="120" w:line="25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E366A9"/>
    <w:pPr>
      <w:spacing w:after="120" w:line="25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366A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extsubheading">
    <w:name w:val="Text sub heading"/>
    <w:basedOn w:val="Normal"/>
    <w:next w:val="Text"/>
    <w:rsid w:val="00A10BDD"/>
    <w:pPr>
      <w:keepNext/>
      <w:spacing w:before="240" w:after="100" w:line="240" w:lineRule="auto"/>
    </w:pPr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BulletChar">
    <w:name w:val="Bullet Char"/>
    <w:basedOn w:val="DefaultParagraphFont"/>
    <w:link w:val="Bullet"/>
    <w:rsid w:val="00A10BDD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Textheading">
    <w:name w:val="Text heading"/>
    <w:basedOn w:val="Normal"/>
    <w:next w:val="Text"/>
    <w:rsid w:val="000644E3"/>
    <w:pPr>
      <w:keepNext/>
      <w:spacing w:before="240" w:after="100" w:line="24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efault">
    <w:name w:val="Default"/>
    <w:rsid w:val="000644E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n-NZ"/>
    </w:rPr>
  </w:style>
  <w:style w:type="paragraph" w:customStyle="1" w:styleId="Firstparagraph">
    <w:name w:val="First paragraph"/>
    <w:basedOn w:val="Normal"/>
    <w:next w:val="Text"/>
    <w:rsid w:val="002D3FB6"/>
    <w:pPr>
      <w:spacing w:after="360" w:line="360" w:lineRule="exact"/>
    </w:pPr>
    <w:rPr>
      <w:rFonts w:ascii="Arial" w:eastAsia="Times New Roman" w:hAnsi="Arial" w:cs="Times New Roman"/>
      <w:sz w:val="26"/>
      <w:szCs w:val="26"/>
      <w:lang w:val="en-GB"/>
    </w:rPr>
  </w:style>
  <w:style w:type="paragraph" w:customStyle="1" w:styleId="Pa3">
    <w:name w:val="Pa3"/>
    <w:basedOn w:val="Normal"/>
    <w:next w:val="Normal"/>
    <w:rsid w:val="002D3FB6"/>
    <w:pPr>
      <w:widowControl w:val="0"/>
      <w:autoSpaceDE w:val="0"/>
      <w:autoSpaceDN w:val="0"/>
      <w:adjustRightInd w:val="0"/>
      <w:spacing w:after="100" w:line="211" w:lineRule="atLeast"/>
    </w:pPr>
    <w:rPr>
      <w:rFonts w:ascii="Times" w:eastAsia="Times New Roman" w:hAnsi="Times" w:cs="Times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ducation.govt.nz/school/student-support/special-education/assistive-technology/forms-for-assistive-technolog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vt.nz/school/student-support/special-education/assistive-technology/forms-for-assistive-technolog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E76B-50B4-4E38-85BF-5981EEA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Info Sheet: Information for Schools</dc:title>
  <dc:subject/>
  <dc:creator/>
  <cp:keywords/>
  <dc:description/>
  <cp:lastModifiedBy/>
  <cp:revision>1</cp:revision>
  <dcterms:created xsi:type="dcterms:W3CDTF">2019-01-24T23:33:00Z</dcterms:created>
  <dcterms:modified xsi:type="dcterms:W3CDTF">2019-01-31T02:46:00Z</dcterms:modified>
</cp:coreProperties>
</file>