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3260" w14:textId="77777777" w:rsidR="00641580" w:rsidRDefault="00641580" w:rsidP="00641580">
      <w:pPr>
        <w:pStyle w:val="Heading2"/>
        <w:spacing w:before="64"/>
        <w:ind w:left="720" w:hanging="720"/>
      </w:pPr>
      <w:r>
        <w:rPr>
          <w:noProof/>
          <w:lang w:val="en-NZ" w:eastAsia="en-NZ"/>
        </w:rPr>
        <mc:AlternateContent>
          <mc:Choice Requires="wps">
            <w:drawing>
              <wp:anchor distT="0" distB="0" distL="114300" distR="114300" simplePos="0" relativeHeight="251659264" behindDoc="0" locked="0" layoutInCell="1" allowOverlap="1" wp14:anchorId="44D9ABB0" wp14:editId="6D9C6330">
                <wp:simplePos x="0" y="0"/>
                <wp:positionH relativeFrom="page">
                  <wp:posOffset>7486650</wp:posOffset>
                </wp:positionH>
                <wp:positionV relativeFrom="page">
                  <wp:posOffset>9648190</wp:posOffset>
                </wp:positionV>
                <wp:extent cx="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DC2B" id="Line 3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5pt,759.7pt" to="589.5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" strokeweight=".1273mm">
                <w10:wrap anchorx="page" anchory="page"/>
              </v:line>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239629FE" wp14:editId="52D5AAFF">
                <wp:simplePos x="0" y="0"/>
                <wp:positionH relativeFrom="page">
                  <wp:posOffset>7491095</wp:posOffset>
                </wp:positionH>
                <wp:positionV relativeFrom="page">
                  <wp:posOffset>7881620</wp:posOffset>
                </wp:positionV>
                <wp:extent cx="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1BA0" id="Line 3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85pt,620.6pt" to="589.85pt,6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" strokeweight=".1273mm">
                <w10:wrap anchorx="page" anchory="page"/>
              </v:line>
            </w:pict>
          </mc:Fallback>
        </mc:AlternateContent>
      </w:r>
      <w:r>
        <w:rPr>
          <w:color w:val="444444"/>
          <w:w w:val="105"/>
        </w:rPr>
        <w:t>Appendix A: advice and</w:t>
      </w:r>
      <w:r>
        <w:rPr>
          <w:color w:val="444444"/>
          <w:spacing w:val="-51"/>
          <w:w w:val="105"/>
        </w:rPr>
        <w:t xml:space="preserve"> </w:t>
      </w:r>
      <w:r>
        <w:rPr>
          <w:color w:val="444444"/>
          <w:w w:val="105"/>
        </w:rPr>
        <w:t>resources</w:t>
      </w:r>
    </w:p>
    <w:p w14:paraId="4CCC7433" w14:textId="77777777" w:rsidR="00641580" w:rsidRDefault="00641580" w:rsidP="00641580">
      <w:pPr>
        <w:pStyle w:val="BodyText"/>
        <w:ind w:left="720" w:hanging="720"/>
        <w:rPr>
          <w:b/>
          <w:sz w:val="28"/>
        </w:rPr>
      </w:pPr>
    </w:p>
    <w:p w14:paraId="5A92B4DF" w14:textId="77777777" w:rsidR="00641580" w:rsidRPr="00D32FCF" w:rsidRDefault="00641580" w:rsidP="00641580">
      <w:pPr>
        <w:pStyle w:val="Heading3"/>
        <w:numPr>
          <w:ilvl w:val="0"/>
          <w:numId w:val="1"/>
        </w:numPr>
        <w:tabs>
          <w:tab w:val="left" w:pos="1134"/>
        </w:tabs>
        <w:spacing w:before="192" w:line="242" w:lineRule="auto"/>
        <w:ind w:left="567" w:hanging="567"/>
        <w:rPr>
          <w:color w:val="161616"/>
        </w:rPr>
      </w:pPr>
      <w:r>
        <w:rPr>
          <w:color w:val="2B2B2B"/>
          <w:w w:val="105"/>
        </w:rPr>
        <w:t xml:space="preserve">For advice on employment matters </w:t>
      </w:r>
      <w:r>
        <w:rPr>
          <w:color w:val="161616"/>
          <w:w w:val="105"/>
        </w:rPr>
        <w:t xml:space="preserve">from </w:t>
      </w:r>
      <w:r>
        <w:rPr>
          <w:color w:val="2B2B2B"/>
          <w:w w:val="105"/>
        </w:rPr>
        <w:t>the New Zealand School Trustees Association (NZSTA):</w:t>
      </w:r>
    </w:p>
    <w:p w14:paraId="4931C1E0" w14:textId="77777777" w:rsidR="00641580" w:rsidRDefault="00641580" w:rsidP="00641580">
      <w:pPr>
        <w:pStyle w:val="Heading3"/>
        <w:tabs>
          <w:tab w:val="left" w:pos="1134"/>
        </w:tabs>
        <w:spacing w:before="192" w:line="242" w:lineRule="auto"/>
        <w:ind w:left="567" w:hanging="567"/>
        <w:rPr>
          <w:color w:val="161616"/>
        </w:rPr>
      </w:pPr>
      <w:r>
        <w:rPr>
          <w:color w:val="161616"/>
        </w:rPr>
        <w:tab/>
      </w:r>
      <w:hyperlink r:id="rId5" w:history="1">
        <w:r w:rsidRPr="005B1D88">
          <w:rPr>
            <w:rStyle w:val="Hyperlink"/>
          </w:rPr>
          <w:t>https://www.nzsta.org.nz/understanding-the-work-of-the-board/</w:t>
        </w:r>
      </w:hyperlink>
    </w:p>
    <w:p w14:paraId="14E799AD" w14:textId="77777777" w:rsidR="00641580" w:rsidRDefault="00641580" w:rsidP="00641580">
      <w:pPr>
        <w:pStyle w:val="Heading3"/>
        <w:tabs>
          <w:tab w:val="left" w:pos="1134"/>
        </w:tabs>
        <w:spacing w:before="192" w:line="242" w:lineRule="auto"/>
        <w:ind w:left="567" w:hanging="567"/>
        <w:rPr>
          <w:color w:val="161616"/>
        </w:rPr>
      </w:pPr>
      <w:r>
        <w:rPr>
          <w:color w:val="161616"/>
        </w:rPr>
        <w:tab/>
      </w:r>
      <w:hyperlink r:id="rId6" w:history="1">
        <w:r w:rsidRPr="005B1D88">
          <w:rPr>
            <w:rStyle w:val="Hyperlink"/>
          </w:rPr>
          <w:t>https://www.nzsta.org.nz/our-organisation/contact-us/</w:t>
        </w:r>
      </w:hyperlink>
    </w:p>
    <w:p w14:paraId="13FF3986" w14:textId="77777777" w:rsidR="00641580" w:rsidRDefault="00641580" w:rsidP="00641580">
      <w:pPr>
        <w:tabs>
          <w:tab w:val="left" w:pos="1134"/>
        </w:tabs>
        <w:spacing w:before="18"/>
        <w:ind w:left="567" w:hanging="567"/>
        <w:rPr>
          <w:sz w:val="21"/>
        </w:rPr>
      </w:pPr>
    </w:p>
    <w:p w14:paraId="414E7B95" w14:textId="77777777" w:rsidR="00641580" w:rsidRPr="00D32FCF" w:rsidRDefault="00641580" w:rsidP="00641580">
      <w:pPr>
        <w:pStyle w:val="ListParagraph"/>
        <w:numPr>
          <w:ilvl w:val="0"/>
          <w:numId w:val="1"/>
        </w:numPr>
        <w:tabs>
          <w:tab w:val="left" w:pos="1134"/>
        </w:tabs>
        <w:spacing w:before="0" w:line="250" w:lineRule="exact"/>
        <w:ind w:left="567" w:hanging="567"/>
        <w:rPr>
          <w:i/>
          <w:color w:val="444444"/>
          <w:sz w:val="21"/>
        </w:rPr>
      </w:pPr>
      <w:r>
        <w:rPr>
          <w:color w:val="2B2B2B"/>
          <w:w w:val="105"/>
          <w:sz w:val="21"/>
        </w:rPr>
        <w:t xml:space="preserve">For the </w:t>
      </w:r>
      <w:r>
        <w:rPr>
          <w:color w:val="161616"/>
          <w:w w:val="105"/>
          <w:sz w:val="21"/>
        </w:rPr>
        <w:t xml:space="preserve">Ministry </w:t>
      </w:r>
      <w:r>
        <w:rPr>
          <w:color w:val="2B2B2B"/>
          <w:w w:val="105"/>
          <w:sz w:val="21"/>
        </w:rPr>
        <w:t xml:space="preserve">of </w:t>
      </w:r>
      <w:r>
        <w:rPr>
          <w:color w:val="444444"/>
          <w:w w:val="105"/>
          <w:sz w:val="21"/>
        </w:rPr>
        <w:t>Ed</w:t>
      </w:r>
      <w:r>
        <w:rPr>
          <w:color w:val="161616"/>
          <w:w w:val="105"/>
          <w:sz w:val="21"/>
        </w:rPr>
        <w:t xml:space="preserve">ucation's </w:t>
      </w:r>
      <w:r>
        <w:rPr>
          <w:i/>
          <w:color w:val="2B2B2B"/>
          <w:w w:val="105"/>
        </w:rPr>
        <w:t xml:space="preserve">Financial </w:t>
      </w:r>
      <w:r>
        <w:rPr>
          <w:i/>
          <w:color w:val="161616"/>
          <w:w w:val="105"/>
        </w:rPr>
        <w:t xml:space="preserve">Information </w:t>
      </w:r>
      <w:r>
        <w:rPr>
          <w:i/>
          <w:color w:val="2B2B2B"/>
          <w:w w:val="105"/>
        </w:rPr>
        <w:t>for Schools</w:t>
      </w:r>
      <w:r>
        <w:rPr>
          <w:i/>
          <w:color w:val="2B2B2B"/>
          <w:spacing w:val="2"/>
          <w:w w:val="105"/>
        </w:rPr>
        <w:t xml:space="preserve"> </w:t>
      </w:r>
      <w:r>
        <w:rPr>
          <w:i/>
          <w:color w:val="2B2B2B"/>
          <w:w w:val="105"/>
        </w:rPr>
        <w:t>Handbook:</w:t>
      </w:r>
    </w:p>
    <w:p w14:paraId="7AE7DBEA" w14:textId="77777777" w:rsidR="00641580" w:rsidRDefault="00641580" w:rsidP="00641580">
      <w:pPr>
        <w:pStyle w:val="ListParagraph"/>
        <w:tabs>
          <w:tab w:val="left" w:pos="1134"/>
        </w:tabs>
        <w:spacing w:before="0" w:line="250" w:lineRule="exact"/>
        <w:ind w:left="567" w:hanging="567"/>
        <w:rPr>
          <w:i/>
          <w:color w:val="444444"/>
          <w:sz w:val="21"/>
        </w:rPr>
      </w:pPr>
    </w:p>
    <w:p w14:paraId="2BECA994" w14:textId="77777777" w:rsidR="00641580" w:rsidRDefault="00641580" w:rsidP="00641580">
      <w:pPr>
        <w:pStyle w:val="ListParagraph"/>
        <w:tabs>
          <w:tab w:val="left" w:pos="1134"/>
        </w:tabs>
        <w:spacing w:before="0" w:line="250" w:lineRule="exact"/>
        <w:ind w:left="567" w:hanging="567"/>
        <w:rPr>
          <w:i/>
          <w:color w:val="444444"/>
        </w:rPr>
      </w:pPr>
      <w:r>
        <w:rPr>
          <w:i/>
          <w:color w:val="444444"/>
          <w:sz w:val="21"/>
        </w:rPr>
        <w:tab/>
      </w:r>
      <w:hyperlink r:id="rId7" w:history="1">
        <w:r w:rsidRPr="005B1D88">
          <w:rPr>
            <w:rStyle w:val="Hyperlink"/>
            <w:i/>
            <w:sz w:val="21"/>
          </w:rPr>
          <w:t>https://www.education.govt.nz/assets/Uploads/Financial-Information-for-Schools-Handbook-2019.pdf</w:t>
        </w:r>
      </w:hyperlink>
      <w:r w:rsidDel="00FC23F8">
        <w:rPr>
          <w:i/>
          <w:color w:val="444444"/>
        </w:rPr>
        <w:t xml:space="preserve"> </w:t>
      </w:r>
    </w:p>
    <w:p w14:paraId="31325920" w14:textId="77777777" w:rsidR="00641580" w:rsidRDefault="00641580" w:rsidP="00641580">
      <w:pPr>
        <w:pStyle w:val="ListParagraph"/>
        <w:tabs>
          <w:tab w:val="left" w:pos="1134"/>
        </w:tabs>
        <w:spacing w:before="0" w:line="250" w:lineRule="exact"/>
        <w:ind w:left="567" w:hanging="567"/>
        <w:rPr>
          <w:i/>
          <w:color w:val="444444"/>
          <w:sz w:val="21"/>
        </w:rPr>
      </w:pPr>
    </w:p>
    <w:p w14:paraId="7391E99A" w14:textId="77777777" w:rsidR="00641580" w:rsidRDefault="00641580" w:rsidP="00641580">
      <w:pPr>
        <w:tabs>
          <w:tab w:val="left" w:pos="1134"/>
        </w:tabs>
        <w:spacing w:before="18"/>
        <w:ind w:left="567" w:hanging="567"/>
        <w:rPr>
          <w:sz w:val="21"/>
        </w:rPr>
      </w:pPr>
      <w:r>
        <w:rPr>
          <w:color w:val="2B2B2B"/>
          <w:w w:val="110"/>
          <w:sz w:val="21"/>
        </w:rPr>
        <w:tab/>
        <w:t xml:space="preserve">This handbook </w:t>
      </w:r>
      <w:r>
        <w:rPr>
          <w:color w:val="161616"/>
          <w:w w:val="110"/>
          <w:sz w:val="21"/>
        </w:rPr>
        <w:t>include</w:t>
      </w:r>
      <w:r>
        <w:rPr>
          <w:color w:val="444444"/>
          <w:w w:val="110"/>
          <w:sz w:val="21"/>
        </w:rPr>
        <w:t xml:space="preserve">s </w:t>
      </w:r>
      <w:r>
        <w:rPr>
          <w:color w:val="2B2B2B"/>
          <w:w w:val="110"/>
          <w:sz w:val="21"/>
        </w:rPr>
        <w:t>guidance on:</w:t>
      </w:r>
    </w:p>
    <w:p w14:paraId="3FBBB600" w14:textId="77777777" w:rsidR="00641580" w:rsidRDefault="00641580" w:rsidP="00641580">
      <w:pPr>
        <w:pStyle w:val="ListParagraph"/>
        <w:numPr>
          <w:ilvl w:val="1"/>
          <w:numId w:val="1"/>
        </w:numPr>
        <w:tabs>
          <w:tab w:val="left" w:pos="987"/>
          <w:tab w:val="left" w:pos="988"/>
          <w:tab w:val="left" w:pos="1134"/>
        </w:tabs>
        <w:spacing w:before="25" w:line="242" w:lineRule="auto"/>
        <w:ind w:left="987" w:hanging="420"/>
        <w:rPr>
          <w:color w:val="595959"/>
          <w:sz w:val="21"/>
        </w:rPr>
      </w:pPr>
      <w:r>
        <w:rPr>
          <w:color w:val="161616"/>
          <w:w w:val="105"/>
          <w:sz w:val="21"/>
        </w:rPr>
        <w:t xml:space="preserve">Model </w:t>
      </w:r>
      <w:r>
        <w:rPr>
          <w:color w:val="2B2B2B"/>
          <w:w w:val="105"/>
          <w:sz w:val="21"/>
        </w:rPr>
        <w:t xml:space="preserve">School </w:t>
      </w:r>
      <w:r>
        <w:rPr>
          <w:color w:val="161616"/>
          <w:w w:val="105"/>
          <w:sz w:val="21"/>
        </w:rPr>
        <w:t xml:space="preserve">financial </w:t>
      </w:r>
      <w:r>
        <w:rPr>
          <w:color w:val="2B2B2B"/>
          <w:w w:val="105"/>
          <w:sz w:val="21"/>
        </w:rPr>
        <w:t xml:space="preserve">policies (particularly Kiwi Park Sensitive Expenditure Policy and </w:t>
      </w:r>
      <w:r>
        <w:rPr>
          <w:color w:val="161616"/>
          <w:w w:val="105"/>
          <w:sz w:val="21"/>
        </w:rPr>
        <w:t xml:space="preserve">Kiwi </w:t>
      </w:r>
      <w:r>
        <w:rPr>
          <w:color w:val="2B2B2B"/>
          <w:w w:val="105"/>
          <w:sz w:val="21"/>
        </w:rPr>
        <w:t>Park Schedule of</w:t>
      </w:r>
      <w:r>
        <w:rPr>
          <w:color w:val="2B2B2B"/>
          <w:spacing w:val="-3"/>
          <w:w w:val="105"/>
          <w:sz w:val="21"/>
        </w:rPr>
        <w:t xml:space="preserve"> </w:t>
      </w:r>
      <w:r>
        <w:rPr>
          <w:color w:val="2B2B2B"/>
          <w:w w:val="105"/>
          <w:sz w:val="21"/>
        </w:rPr>
        <w:t>Delegations).</w:t>
      </w:r>
    </w:p>
    <w:p w14:paraId="1F41FDFC" w14:textId="77777777" w:rsidR="00641580" w:rsidRDefault="00641580" w:rsidP="00641580">
      <w:pPr>
        <w:pStyle w:val="ListParagraph"/>
        <w:numPr>
          <w:ilvl w:val="1"/>
          <w:numId w:val="1"/>
        </w:numPr>
        <w:tabs>
          <w:tab w:val="left" w:pos="989"/>
          <w:tab w:val="left" w:pos="990"/>
          <w:tab w:val="left" w:pos="1134"/>
        </w:tabs>
        <w:spacing w:before="24"/>
        <w:ind w:left="987" w:hanging="420"/>
        <w:rPr>
          <w:color w:val="595959"/>
          <w:sz w:val="21"/>
        </w:rPr>
      </w:pPr>
      <w:r>
        <w:rPr>
          <w:color w:val="2B2B2B"/>
          <w:w w:val="105"/>
          <w:sz w:val="21"/>
        </w:rPr>
        <w:t xml:space="preserve">Accounting for </w:t>
      </w:r>
      <w:r>
        <w:rPr>
          <w:color w:val="161616"/>
          <w:w w:val="105"/>
          <w:sz w:val="21"/>
        </w:rPr>
        <w:t xml:space="preserve">locally </w:t>
      </w:r>
      <w:r>
        <w:rPr>
          <w:color w:val="2B2B2B"/>
          <w:w w:val="105"/>
          <w:sz w:val="21"/>
        </w:rPr>
        <w:t>raised donations and fundraising and other</w:t>
      </w:r>
      <w:r>
        <w:rPr>
          <w:color w:val="2B2B2B"/>
          <w:spacing w:val="10"/>
          <w:w w:val="105"/>
          <w:sz w:val="21"/>
        </w:rPr>
        <w:t xml:space="preserve"> </w:t>
      </w:r>
      <w:r>
        <w:rPr>
          <w:color w:val="161616"/>
          <w:w w:val="105"/>
          <w:sz w:val="21"/>
        </w:rPr>
        <w:t>income.</w:t>
      </w:r>
    </w:p>
    <w:p w14:paraId="41B97A2C" w14:textId="77777777" w:rsidR="00641580" w:rsidRDefault="00641580" w:rsidP="00641580">
      <w:pPr>
        <w:pStyle w:val="ListParagraph"/>
        <w:numPr>
          <w:ilvl w:val="1"/>
          <w:numId w:val="1"/>
        </w:numPr>
        <w:tabs>
          <w:tab w:val="left" w:pos="991"/>
          <w:tab w:val="left" w:pos="992"/>
          <w:tab w:val="left" w:pos="1134"/>
        </w:tabs>
        <w:spacing w:before="11"/>
        <w:ind w:left="987" w:hanging="420"/>
        <w:rPr>
          <w:color w:val="444444"/>
          <w:sz w:val="21"/>
        </w:rPr>
      </w:pPr>
      <w:r>
        <w:rPr>
          <w:color w:val="161616"/>
          <w:w w:val="105"/>
          <w:sz w:val="21"/>
        </w:rPr>
        <w:t xml:space="preserve">Information </w:t>
      </w:r>
      <w:r>
        <w:rPr>
          <w:color w:val="2B2B2B"/>
          <w:w w:val="105"/>
          <w:sz w:val="21"/>
        </w:rPr>
        <w:t xml:space="preserve">for Boards of </w:t>
      </w:r>
      <w:r>
        <w:rPr>
          <w:color w:val="161616"/>
          <w:w w:val="105"/>
          <w:sz w:val="21"/>
        </w:rPr>
        <w:t>integrated</w:t>
      </w:r>
      <w:r>
        <w:rPr>
          <w:color w:val="161616"/>
          <w:spacing w:val="15"/>
          <w:w w:val="105"/>
          <w:sz w:val="21"/>
        </w:rPr>
        <w:t xml:space="preserve"> </w:t>
      </w:r>
      <w:r>
        <w:rPr>
          <w:color w:val="2B2B2B"/>
          <w:w w:val="105"/>
          <w:sz w:val="21"/>
        </w:rPr>
        <w:t>schools.</w:t>
      </w:r>
    </w:p>
    <w:p w14:paraId="0390CAB9" w14:textId="77777777" w:rsidR="00641580" w:rsidRDefault="00641580" w:rsidP="00641580">
      <w:pPr>
        <w:pStyle w:val="BodyText"/>
        <w:tabs>
          <w:tab w:val="left" w:pos="1134"/>
        </w:tabs>
        <w:spacing w:before="10"/>
        <w:ind w:left="987" w:hanging="420"/>
        <w:rPr>
          <w:sz w:val="22"/>
        </w:rPr>
      </w:pPr>
    </w:p>
    <w:p w14:paraId="64BDBB6D" w14:textId="3C2356D1" w:rsidR="00641580" w:rsidRPr="00D32FCF" w:rsidRDefault="00641580" w:rsidP="00641580">
      <w:pPr>
        <w:pStyle w:val="ListParagraph"/>
        <w:numPr>
          <w:ilvl w:val="0"/>
          <w:numId w:val="1"/>
        </w:numPr>
        <w:tabs>
          <w:tab w:val="left" w:pos="1134"/>
        </w:tabs>
        <w:spacing w:before="0" w:line="249" w:lineRule="auto"/>
        <w:ind w:left="567" w:hanging="567"/>
        <w:rPr>
          <w:color w:val="2B2B2B"/>
          <w:sz w:val="21"/>
        </w:rPr>
      </w:pPr>
      <w:r>
        <w:rPr>
          <w:color w:val="2B2B2B"/>
          <w:w w:val="105"/>
          <w:sz w:val="21"/>
        </w:rPr>
        <w:t>For National Administration Guideline</w:t>
      </w:r>
      <w:r>
        <w:rPr>
          <w:color w:val="2B2B2B"/>
          <w:w w:val="105"/>
          <w:sz w:val="21"/>
        </w:rPr>
        <w:t xml:space="preserve"> (N</w:t>
      </w:r>
      <w:r>
        <w:rPr>
          <w:color w:val="2B2B2B"/>
          <w:w w:val="105"/>
          <w:sz w:val="21"/>
        </w:rPr>
        <w:t>AG) 4:</w:t>
      </w:r>
    </w:p>
    <w:p w14:paraId="5DCC227B" w14:textId="77777777" w:rsidR="00641580" w:rsidRDefault="00641580" w:rsidP="00641580">
      <w:pPr>
        <w:pStyle w:val="ListParagraph"/>
        <w:tabs>
          <w:tab w:val="left" w:pos="1134"/>
        </w:tabs>
        <w:spacing w:before="0" w:line="249" w:lineRule="auto"/>
        <w:ind w:left="567" w:hanging="567"/>
        <w:rPr>
          <w:color w:val="2B2B2B"/>
          <w:w w:val="105"/>
          <w:sz w:val="21"/>
          <w:u w:val="thick" w:color="2B2B2B"/>
        </w:rPr>
      </w:pPr>
    </w:p>
    <w:p w14:paraId="7B53B95F" w14:textId="77777777" w:rsidR="00641580" w:rsidRDefault="00641580" w:rsidP="00641580">
      <w:pPr>
        <w:pStyle w:val="ListParagraph"/>
        <w:tabs>
          <w:tab w:val="left" w:pos="1134"/>
        </w:tabs>
        <w:spacing w:before="0" w:line="249" w:lineRule="auto"/>
        <w:ind w:left="567" w:hanging="567"/>
        <w:rPr>
          <w:color w:val="2B2B2B"/>
          <w:sz w:val="21"/>
        </w:rPr>
      </w:pPr>
      <w:r>
        <w:rPr>
          <w:color w:val="2B2B2B"/>
          <w:sz w:val="21"/>
        </w:rPr>
        <w:tab/>
      </w:r>
      <w:hyperlink r:id="rId8" w:history="1">
        <w:r w:rsidRPr="005B1D88">
          <w:rPr>
            <w:rStyle w:val="Hyperlink"/>
            <w:sz w:val="21"/>
          </w:rPr>
          <w:t>https://www.education.govt.nz/our-work/legislation/nags/</w:t>
        </w:r>
      </w:hyperlink>
    </w:p>
    <w:p w14:paraId="55FB78E8" w14:textId="77777777" w:rsidR="00641580" w:rsidRPr="00D32FCF" w:rsidRDefault="00641580" w:rsidP="00641580">
      <w:pPr>
        <w:pStyle w:val="ListParagraph"/>
        <w:tabs>
          <w:tab w:val="left" w:pos="1134"/>
        </w:tabs>
        <w:spacing w:before="0" w:line="249" w:lineRule="auto"/>
        <w:ind w:left="567" w:hanging="567"/>
        <w:rPr>
          <w:color w:val="2B2B2B"/>
          <w:sz w:val="21"/>
        </w:rPr>
      </w:pPr>
    </w:p>
    <w:p w14:paraId="2B5A3ED0" w14:textId="77777777" w:rsidR="00641580" w:rsidRPr="00CD343A" w:rsidRDefault="00641580" w:rsidP="00641580">
      <w:pPr>
        <w:tabs>
          <w:tab w:val="left" w:pos="1134"/>
        </w:tabs>
        <w:spacing w:before="10" w:line="249" w:lineRule="auto"/>
        <w:ind w:left="567" w:hanging="567"/>
        <w:rPr>
          <w:sz w:val="21"/>
          <w:szCs w:val="21"/>
        </w:rPr>
      </w:pPr>
      <w:r>
        <w:rPr>
          <w:color w:val="2B2B2B"/>
          <w:sz w:val="21"/>
        </w:rPr>
        <w:tab/>
      </w:r>
      <w:r w:rsidRPr="00CD343A">
        <w:rPr>
          <w:color w:val="2B2B2B"/>
          <w:w w:val="105"/>
          <w:sz w:val="21"/>
          <w:szCs w:val="21"/>
        </w:rPr>
        <w:t xml:space="preserve">NAG 4 </w:t>
      </w:r>
      <w:r w:rsidRPr="00CD343A">
        <w:rPr>
          <w:color w:val="161616"/>
          <w:w w:val="105"/>
          <w:sz w:val="21"/>
          <w:szCs w:val="21"/>
        </w:rPr>
        <w:t xml:space="preserve">requires </w:t>
      </w:r>
      <w:r w:rsidRPr="00CD343A">
        <w:rPr>
          <w:color w:val="2B2B2B"/>
          <w:w w:val="105"/>
          <w:sz w:val="21"/>
          <w:szCs w:val="21"/>
        </w:rPr>
        <w:t xml:space="preserve">a Board to: allocate funds to </w:t>
      </w:r>
      <w:r w:rsidRPr="00CD343A">
        <w:rPr>
          <w:color w:val="161616"/>
          <w:w w:val="105"/>
          <w:sz w:val="21"/>
          <w:szCs w:val="21"/>
        </w:rPr>
        <w:t xml:space="preserve">reflect </w:t>
      </w:r>
      <w:r w:rsidRPr="00CD343A">
        <w:rPr>
          <w:color w:val="2B2B2B"/>
          <w:w w:val="105"/>
          <w:sz w:val="21"/>
          <w:szCs w:val="21"/>
        </w:rPr>
        <w:t xml:space="preserve">the school's priorities as stated </w:t>
      </w:r>
      <w:r w:rsidRPr="00CD343A">
        <w:rPr>
          <w:color w:val="161616"/>
          <w:w w:val="105"/>
          <w:sz w:val="21"/>
          <w:szCs w:val="21"/>
        </w:rPr>
        <w:t xml:space="preserve">in its </w:t>
      </w:r>
      <w:r w:rsidRPr="00CD343A">
        <w:rPr>
          <w:color w:val="2B2B2B"/>
          <w:w w:val="105"/>
          <w:sz w:val="21"/>
          <w:szCs w:val="21"/>
        </w:rPr>
        <w:t xml:space="preserve">Charter; </w:t>
      </w:r>
      <w:r w:rsidRPr="00CD343A">
        <w:rPr>
          <w:color w:val="161616"/>
          <w:w w:val="105"/>
          <w:sz w:val="21"/>
          <w:szCs w:val="21"/>
        </w:rPr>
        <w:t xml:space="preserve">monitor </w:t>
      </w:r>
      <w:r w:rsidRPr="00CD343A">
        <w:rPr>
          <w:color w:val="2B2B2B"/>
          <w:w w:val="105"/>
          <w:sz w:val="21"/>
          <w:szCs w:val="21"/>
        </w:rPr>
        <w:t xml:space="preserve">and control school expenditure; and ensure </w:t>
      </w:r>
      <w:r w:rsidRPr="00CD343A">
        <w:rPr>
          <w:color w:val="161616"/>
          <w:w w:val="105"/>
          <w:sz w:val="21"/>
          <w:szCs w:val="21"/>
        </w:rPr>
        <w:t xml:space="preserve">that </w:t>
      </w:r>
      <w:r w:rsidRPr="00CD343A">
        <w:rPr>
          <w:color w:val="2B2B2B"/>
          <w:w w:val="105"/>
          <w:sz w:val="21"/>
          <w:szCs w:val="21"/>
        </w:rPr>
        <w:t xml:space="preserve">annual accounts are </w:t>
      </w:r>
      <w:r w:rsidRPr="00CD343A">
        <w:rPr>
          <w:color w:val="161616"/>
          <w:w w:val="105"/>
          <w:sz w:val="21"/>
          <w:szCs w:val="21"/>
        </w:rPr>
        <w:t xml:space="preserve">prepared </w:t>
      </w:r>
      <w:r w:rsidRPr="00CD343A">
        <w:rPr>
          <w:color w:val="2B2B2B"/>
          <w:w w:val="105"/>
          <w:sz w:val="21"/>
          <w:szCs w:val="21"/>
        </w:rPr>
        <w:t xml:space="preserve">and audited as required by </w:t>
      </w:r>
      <w:r w:rsidRPr="00CD343A">
        <w:rPr>
          <w:color w:val="161616"/>
          <w:w w:val="105"/>
          <w:sz w:val="21"/>
          <w:szCs w:val="21"/>
        </w:rPr>
        <w:t xml:space="preserve">the Public Finance </w:t>
      </w:r>
      <w:r w:rsidRPr="00CD343A">
        <w:rPr>
          <w:color w:val="2B2B2B"/>
          <w:w w:val="105"/>
          <w:sz w:val="21"/>
          <w:szCs w:val="21"/>
        </w:rPr>
        <w:t xml:space="preserve">Act </w:t>
      </w:r>
      <w:r w:rsidRPr="00CD343A">
        <w:rPr>
          <w:color w:val="161616"/>
          <w:w w:val="105"/>
          <w:sz w:val="21"/>
          <w:szCs w:val="21"/>
        </w:rPr>
        <w:t xml:space="preserve">1989 </w:t>
      </w:r>
      <w:r w:rsidRPr="00CD343A">
        <w:rPr>
          <w:color w:val="2B2B2B"/>
          <w:w w:val="105"/>
          <w:sz w:val="21"/>
          <w:szCs w:val="21"/>
        </w:rPr>
        <w:t xml:space="preserve">and </w:t>
      </w:r>
      <w:r w:rsidRPr="00CD343A">
        <w:rPr>
          <w:color w:val="161616"/>
          <w:w w:val="105"/>
          <w:sz w:val="21"/>
          <w:szCs w:val="21"/>
        </w:rPr>
        <w:t xml:space="preserve">the Education </w:t>
      </w:r>
      <w:r w:rsidRPr="00CD343A">
        <w:rPr>
          <w:color w:val="2B2B2B"/>
          <w:w w:val="105"/>
          <w:sz w:val="21"/>
          <w:szCs w:val="21"/>
        </w:rPr>
        <w:t>Act</w:t>
      </w:r>
      <w:bookmarkStart w:id="0" w:name="_GoBack"/>
      <w:bookmarkEnd w:id="0"/>
      <w:r w:rsidRPr="00CD343A">
        <w:rPr>
          <w:color w:val="2B2B2B"/>
          <w:w w:val="105"/>
          <w:sz w:val="21"/>
          <w:szCs w:val="21"/>
        </w:rPr>
        <w:t xml:space="preserve"> </w:t>
      </w:r>
      <w:r w:rsidRPr="00CD343A">
        <w:rPr>
          <w:color w:val="161616"/>
          <w:w w:val="105"/>
          <w:sz w:val="21"/>
          <w:szCs w:val="21"/>
        </w:rPr>
        <w:t>1989.</w:t>
      </w:r>
    </w:p>
    <w:p w14:paraId="402885EF" w14:textId="77777777" w:rsidR="00641580" w:rsidRPr="00D32FCF" w:rsidRDefault="00641580" w:rsidP="00641580">
      <w:pPr>
        <w:pStyle w:val="BodyText"/>
        <w:tabs>
          <w:tab w:val="left" w:pos="1134"/>
        </w:tabs>
        <w:spacing w:before="1"/>
        <w:ind w:left="567" w:hanging="567"/>
      </w:pPr>
    </w:p>
    <w:p w14:paraId="6DA6E987" w14:textId="77777777" w:rsidR="00641580" w:rsidRPr="00641580" w:rsidRDefault="00641580" w:rsidP="00641580">
      <w:pPr>
        <w:numPr>
          <w:ilvl w:val="0"/>
          <w:numId w:val="1"/>
        </w:numPr>
        <w:spacing w:before="30" w:line="256" w:lineRule="auto"/>
        <w:ind w:left="567" w:hanging="567"/>
        <w:rPr>
          <w:color w:val="2B2B2B"/>
          <w:w w:val="105"/>
          <w:sz w:val="21"/>
        </w:rPr>
      </w:pPr>
      <w:r w:rsidRPr="00641580">
        <w:rPr>
          <w:color w:val="2B2B2B"/>
          <w:w w:val="105"/>
          <w:sz w:val="21"/>
        </w:rPr>
        <w:t>For reimbursement and expenses clauses in the relevant collective agreement. (Clause 3.3 of the Secondary Principals' Collective Agreement and Area School Principals' Collective Agreement, and clause 6.1 of the Primary Principals' Collective Agreement)</w:t>
      </w:r>
    </w:p>
    <w:p w14:paraId="3759D9BA" w14:textId="77777777" w:rsidR="00641580" w:rsidRDefault="00641580" w:rsidP="00641580">
      <w:pPr>
        <w:pStyle w:val="ListParagraph"/>
        <w:tabs>
          <w:tab w:val="left" w:pos="1134"/>
        </w:tabs>
        <w:spacing w:before="0" w:line="242" w:lineRule="auto"/>
        <w:ind w:left="567" w:hanging="567"/>
        <w:rPr>
          <w:color w:val="444444"/>
          <w:w w:val="105"/>
          <w:sz w:val="20"/>
          <w:szCs w:val="20"/>
          <w:vertAlign w:val="superscript"/>
        </w:rPr>
      </w:pPr>
    </w:p>
    <w:p w14:paraId="0D028DD0" w14:textId="77777777" w:rsidR="00641580" w:rsidRPr="00D32FCF" w:rsidRDefault="00641580" w:rsidP="00641580">
      <w:pPr>
        <w:pStyle w:val="ListParagraph"/>
        <w:tabs>
          <w:tab w:val="left" w:pos="1134"/>
        </w:tabs>
        <w:spacing w:before="0" w:line="242" w:lineRule="auto"/>
        <w:ind w:left="567" w:hanging="567"/>
        <w:rPr>
          <w:color w:val="161616"/>
          <w:sz w:val="20"/>
          <w:szCs w:val="20"/>
        </w:rPr>
      </w:pPr>
      <w:r>
        <w:rPr>
          <w:color w:val="444444"/>
          <w:w w:val="105"/>
          <w:sz w:val="20"/>
          <w:szCs w:val="20"/>
          <w:vertAlign w:val="superscript"/>
        </w:rPr>
        <w:tab/>
      </w:r>
      <w:hyperlink r:id="rId9" w:history="1">
        <w:r w:rsidRPr="00D32FCF">
          <w:rPr>
            <w:rStyle w:val="Hyperlink"/>
            <w:w w:val="105"/>
            <w:sz w:val="20"/>
            <w:szCs w:val="20"/>
          </w:rPr>
          <w:t>https://www.education.govt.nz/school/people-and-employment/employment-agreements</w:t>
        </w:r>
      </w:hyperlink>
    </w:p>
    <w:p w14:paraId="360724DA" w14:textId="77777777" w:rsidR="00641580" w:rsidRPr="00D32FCF" w:rsidRDefault="00641580" w:rsidP="00641580">
      <w:pPr>
        <w:pStyle w:val="ListParagraph"/>
        <w:tabs>
          <w:tab w:val="left" w:pos="1134"/>
        </w:tabs>
        <w:spacing w:before="0" w:line="242" w:lineRule="auto"/>
        <w:ind w:left="567" w:hanging="567"/>
        <w:rPr>
          <w:color w:val="161616"/>
          <w:sz w:val="20"/>
          <w:szCs w:val="20"/>
        </w:rPr>
      </w:pPr>
    </w:p>
    <w:p w14:paraId="4B1D9331" w14:textId="77777777" w:rsidR="00641580" w:rsidRPr="00D32FCF" w:rsidRDefault="00641580" w:rsidP="00641580">
      <w:pPr>
        <w:pStyle w:val="ListParagraph"/>
        <w:numPr>
          <w:ilvl w:val="0"/>
          <w:numId w:val="1"/>
        </w:numPr>
        <w:tabs>
          <w:tab w:val="left" w:pos="612"/>
          <w:tab w:val="left" w:pos="1134"/>
        </w:tabs>
        <w:spacing w:before="0" w:line="249" w:lineRule="auto"/>
        <w:ind w:left="567" w:hanging="567"/>
        <w:rPr>
          <w:color w:val="2B2B2B"/>
          <w:sz w:val="21"/>
        </w:rPr>
      </w:pPr>
      <w:r>
        <w:rPr>
          <w:color w:val="2B2B2B"/>
          <w:w w:val="110"/>
          <w:sz w:val="21"/>
        </w:rPr>
        <w:t>For</w:t>
      </w:r>
      <w:r>
        <w:rPr>
          <w:color w:val="2B2B2B"/>
          <w:spacing w:val="-30"/>
          <w:w w:val="110"/>
          <w:sz w:val="21"/>
        </w:rPr>
        <w:t xml:space="preserve"> </w:t>
      </w:r>
      <w:r>
        <w:rPr>
          <w:color w:val="2B2B2B"/>
          <w:w w:val="110"/>
          <w:sz w:val="21"/>
        </w:rPr>
        <w:t>tax</w:t>
      </w:r>
      <w:r>
        <w:rPr>
          <w:color w:val="2B2B2B"/>
          <w:spacing w:val="-30"/>
          <w:w w:val="110"/>
          <w:sz w:val="21"/>
        </w:rPr>
        <w:t xml:space="preserve"> </w:t>
      </w:r>
      <w:r>
        <w:rPr>
          <w:color w:val="2B2B2B"/>
          <w:w w:val="110"/>
          <w:sz w:val="21"/>
        </w:rPr>
        <w:t>guides,</w:t>
      </w:r>
      <w:r>
        <w:rPr>
          <w:color w:val="2B2B2B"/>
          <w:spacing w:val="-23"/>
          <w:w w:val="110"/>
          <w:sz w:val="21"/>
        </w:rPr>
        <w:t xml:space="preserve"> </w:t>
      </w:r>
      <w:r>
        <w:rPr>
          <w:color w:val="161616"/>
          <w:w w:val="110"/>
          <w:sz w:val="21"/>
        </w:rPr>
        <w:t>including</w:t>
      </w:r>
      <w:r>
        <w:rPr>
          <w:color w:val="161616"/>
          <w:spacing w:val="-26"/>
          <w:w w:val="110"/>
          <w:sz w:val="21"/>
        </w:rPr>
        <w:t xml:space="preserve"> </w:t>
      </w:r>
      <w:r>
        <w:rPr>
          <w:color w:val="2B2B2B"/>
          <w:w w:val="110"/>
          <w:sz w:val="21"/>
        </w:rPr>
        <w:t>Fringe</w:t>
      </w:r>
      <w:r>
        <w:rPr>
          <w:color w:val="2B2B2B"/>
          <w:spacing w:val="-25"/>
          <w:w w:val="110"/>
          <w:sz w:val="21"/>
        </w:rPr>
        <w:t xml:space="preserve"> </w:t>
      </w:r>
      <w:r>
        <w:rPr>
          <w:color w:val="2B2B2B"/>
          <w:w w:val="110"/>
          <w:sz w:val="21"/>
        </w:rPr>
        <w:t>Benefit</w:t>
      </w:r>
      <w:r>
        <w:rPr>
          <w:color w:val="2B2B2B"/>
          <w:spacing w:val="-31"/>
          <w:w w:val="110"/>
          <w:sz w:val="21"/>
        </w:rPr>
        <w:t xml:space="preserve"> </w:t>
      </w:r>
      <w:r>
        <w:rPr>
          <w:color w:val="2B2B2B"/>
          <w:w w:val="110"/>
          <w:sz w:val="21"/>
        </w:rPr>
        <w:t>Tax</w:t>
      </w:r>
      <w:r>
        <w:rPr>
          <w:color w:val="2B2B2B"/>
          <w:spacing w:val="-30"/>
          <w:w w:val="110"/>
          <w:sz w:val="21"/>
        </w:rPr>
        <w:t xml:space="preserve"> </w:t>
      </w:r>
      <w:r>
        <w:rPr>
          <w:color w:val="2B2B2B"/>
          <w:w w:val="110"/>
          <w:sz w:val="21"/>
        </w:rPr>
        <w:t>guidance:</w:t>
      </w:r>
    </w:p>
    <w:p w14:paraId="48A48A07" w14:textId="77777777" w:rsidR="00641580" w:rsidRDefault="00641580" w:rsidP="00641580">
      <w:pPr>
        <w:pStyle w:val="ListParagraph"/>
        <w:tabs>
          <w:tab w:val="left" w:pos="612"/>
          <w:tab w:val="left" w:pos="1134"/>
        </w:tabs>
        <w:spacing w:before="0" w:line="249" w:lineRule="auto"/>
        <w:ind w:left="567" w:hanging="567"/>
        <w:rPr>
          <w:color w:val="2B2B2B"/>
          <w:sz w:val="21"/>
        </w:rPr>
      </w:pPr>
    </w:p>
    <w:p w14:paraId="6B501677" w14:textId="77777777" w:rsidR="00641580" w:rsidRPr="00D32FCF" w:rsidRDefault="00641580" w:rsidP="00641580">
      <w:pPr>
        <w:pStyle w:val="ListParagraph"/>
        <w:tabs>
          <w:tab w:val="left" w:pos="612"/>
          <w:tab w:val="left" w:pos="1134"/>
        </w:tabs>
        <w:spacing w:before="0" w:line="249" w:lineRule="auto"/>
        <w:ind w:left="567" w:hanging="567"/>
        <w:rPr>
          <w:color w:val="2B2B2B"/>
          <w:sz w:val="21"/>
        </w:rPr>
      </w:pPr>
      <w:r>
        <w:rPr>
          <w:color w:val="2B2B2B"/>
          <w:sz w:val="21"/>
        </w:rPr>
        <w:tab/>
      </w:r>
      <w:hyperlink r:id="rId10" w:history="1">
        <w:r w:rsidRPr="0077214F">
          <w:rPr>
            <w:rStyle w:val="Hyperlink"/>
            <w:w w:val="110"/>
            <w:sz w:val="21"/>
          </w:rPr>
          <w:t>https://www.ird.govt.nz/employing-staff/paying-staff/fringe-benefit-tax</w:t>
        </w:r>
      </w:hyperlink>
    </w:p>
    <w:p w14:paraId="7A7AD0F5" w14:textId="77777777" w:rsidR="00641580" w:rsidRPr="00D32FCF" w:rsidRDefault="00641580" w:rsidP="00641580">
      <w:pPr>
        <w:pStyle w:val="ListParagraph"/>
        <w:tabs>
          <w:tab w:val="left" w:pos="612"/>
          <w:tab w:val="left" w:pos="1134"/>
        </w:tabs>
        <w:spacing w:before="0" w:line="249" w:lineRule="auto"/>
        <w:ind w:left="567" w:hanging="567"/>
        <w:rPr>
          <w:color w:val="2B2B2B"/>
          <w:sz w:val="21"/>
        </w:rPr>
      </w:pPr>
    </w:p>
    <w:p w14:paraId="54AF3F6A" w14:textId="77777777" w:rsidR="00641580" w:rsidRPr="00D32FCF" w:rsidRDefault="00641580" w:rsidP="00641580">
      <w:pPr>
        <w:pStyle w:val="ListParagraph"/>
        <w:numPr>
          <w:ilvl w:val="0"/>
          <w:numId w:val="1"/>
        </w:numPr>
        <w:tabs>
          <w:tab w:val="left" w:pos="612"/>
          <w:tab w:val="left" w:pos="1134"/>
        </w:tabs>
        <w:spacing w:before="0" w:line="237" w:lineRule="auto"/>
        <w:ind w:left="567" w:hanging="567"/>
        <w:rPr>
          <w:color w:val="2B2B2B"/>
          <w:sz w:val="21"/>
        </w:rPr>
      </w:pPr>
      <w:r>
        <w:rPr>
          <w:color w:val="161616"/>
          <w:w w:val="105"/>
          <w:sz w:val="21"/>
        </w:rPr>
        <w:t xml:space="preserve">For the </w:t>
      </w:r>
      <w:r>
        <w:rPr>
          <w:color w:val="2B2B2B"/>
          <w:w w:val="105"/>
          <w:sz w:val="21"/>
        </w:rPr>
        <w:t xml:space="preserve">Government's Expectations for Pay and Employment Conditions in </w:t>
      </w:r>
      <w:r>
        <w:rPr>
          <w:color w:val="161616"/>
          <w:w w:val="105"/>
          <w:sz w:val="21"/>
        </w:rPr>
        <w:t xml:space="preserve">the </w:t>
      </w:r>
      <w:r>
        <w:rPr>
          <w:color w:val="2B2B2B"/>
          <w:w w:val="105"/>
          <w:sz w:val="21"/>
        </w:rPr>
        <w:t>State Sector:</w:t>
      </w:r>
    </w:p>
    <w:p w14:paraId="62209B73" w14:textId="77777777" w:rsidR="00641580" w:rsidRDefault="00641580" w:rsidP="00641580">
      <w:pPr>
        <w:pStyle w:val="ListParagraph"/>
        <w:tabs>
          <w:tab w:val="left" w:pos="612"/>
          <w:tab w:val="left" w:pos="1134"/>
        </w:tabs>
        <w:spacing w:before="0" w:line="237" w:lineRule="auto"/>
        <w:ind w:left="567" w:hanging="567"/>
        <w:rPr>
          <w:color w:val="2B2B2B"/>
          <w:sz w:val="21"/>
        </w:rPr>
      </w:pPr>
    </w:p>
    <w:p w14:paraId="17F871BB" w14:textId="77777777" w:rsidR="00641580" w:rsidRDefault="00641580" w:rsidP="00641580">
      <w:pPr>
        <w:pStyle w:val="ListParagraph"/>
        <w:tabs>
          <w:tab w:val="left" w:pos="612"/>
          <w:tab w:val="left" w:pos="1134"/>
        </w:tabs>
        <w:spacing w:before="0" w:line="237" w:lineRule="auto"/>
        <w:ind w:left="567" w:hanging="567"/>
        <w:rPr>
          <w:color w:val="2B2B2B"/>
          <w:sz w:val="21"/>
        </w:rPr>
      </w:pPr>
      <w:r>
        <w:rPr>
          <w:color w:val="2B2B2B"/>
          <w:sz w:val="21"/>
        </w:rPr>
        <w:tab/>
      </w:r>
      <w:hyperlink r:id="rId11" w:history="1">
        <w:r w:rsidRPr="005B1D88">
          <w:rPr>
            <w:rStyle w:val="Hyperlink"/>
            <w:sz w:val="21"/>
          </w:rPr>
          <w:t>https://www.publicservice.govt.nz/resources/govt-expectations-pay-employment/</w:t>
        </w:r>
      </w:hyperlink>
    </w:p>
    <w:p w14:paraId="312FDC71" w14:textId="77777777" w:rsidR="00641580" w:rsidRDefault="00641580" w:rsidP="00641580">
      <w:pPr>
        <w:pStyle w:val="BodyText"/>
        <w:tabs>
          <w:tab w:val="left" w:pos="1134"/>
        </w:tabs>
        <w:spacing w:before="8"/>
        <w:ind w:left="567" w:hanging="567"/>
        <w:rPr>
          <w:sz w:val="22"/>
        </w:rPr>
      </w:pPr>
    </w:p>
    <w:p w14:paraId="142895CC" w14:textId="77777777" w:rsidR="00641580" w:rsidRPr="00D32FCF" w:rsidRDefault="00641580" w:rsidP="00641580">
      <w:pPr>
        <w:pStyle w:val="ListParagraph"/>
        <w:numPr>
          <w:ilvl w:val="0"/>
          <w:numId w:val="1"/>
        </w:numPr>
        <w:tabs>
          <w:tab w:val="left" w:pos="604"/>
          <w:tab w:val="left" w:pos="1134"/>
        </w:tabs>
        <w:spacing w:before="0"/>
        <w:ind w:left="567" w:hanging="567"/>
        <w:rPr>
          <w:i/>
          <w:color w:val="161616"/>
          <w:sz w:val="21"/>
        </w:rPr>
      </w:pPr>
      <w:r>
        <w:rPr>
          <w:color w:val="161616"/>
          <w:w w:val="105"/>
          <w:sz w:val="21"/>
        </w:rPr>
        <w:t>For the</w:t>
      </w:r>
      <w:r>
        <w:rPr>
          <w:color w:val="161616"/>
          <w:spacing w:val="-5"/>
          <w:w w:val="105"/>
          <w:sz w:val="21"/>
        </w:rPr>
        <w:t xml:space="preserve"> </w:t>
      </w:r>
      <w:r>
        <w:rPr>
          <w:color w:val="161616"/>
          <w:w w:val="105"/>
          <w:sz w:val="21"/>
        </w:rPr>
        <w:t>Office</w:t>
      </w:r>
      <w:r>
        <w:rPr>
          <w:color w:val="161616"/>
          <w:spacing w:val="-10"/>
          <w:w w:val="105"/>
          <w:sz w:val="21"/>
        </w:rPr>
        <w:t xml:space="preserve"> </w:t>
      </w:r>
      <w:r>
        <w:rPr>
          <w:color w:val="2B2B2B"/>
          <w:w w:val="105"/>
          <w:sz w:val="21"/>
        </w:rPr>
        <w:t>of</w:t>
      </w:r>
      <w:r>
        <w:rPr>
          <w:color w:val="2B2B2B"/>
          <w:spacing w:val="-8"/>
          <w:w w:val="105"/>
          <w:sz w:val="21"/>
        </w:rPr>
        <w:t xml:space="preserve"> </w:t>
      </w:r>
      <w:r>
        <w:rPr>
          <w:color w:val="161616"/>
          <w:w w:val="105"/>
          <w:sz w:val="21"/>
        </w:rPr>
        <w:t>the</w:t>
      </w:r>
      <w:r>
        <w:rPr>
          <w:color w:val="161616"/>
          <w:spacing w:val="-15"/>
          <w:w w:val="105"/>
          <w:sz w:val="21"/>
        </w:rPr>
        <w:t xml:space="preserve"> Controller and </w:t>
      </w:r>
      <w:r>
        <w:rPr>
          <w:color w:val="2B2B2B"/>
          <w:w w:val="105"/>
          <w:sz w:val="21"/>
        </w:rPr>
        <w:t>Auditor-General's</w:t>
      </w:r>
      <w:r>
        <w:rPr>
          <w:color w:val="2B2B2B"/>
          <w:spacing w:val="-10"/>
          <w:w w:val="105"/>
          <w:sz w:val="21"/>
        </w:rPr>
        <w:t xml:space="preserve"> </w:t>
      </w:r>
      <w:r>
        <w:rPr>
          <w:color w:val="2B2B2B"/>
          <w:w w:val="105"/>
          <w:sz w:val="21"/>
        </w:rPr>
        <w:t>publication</w:t>
      </w:r>
      <w:r>
        <w:rPr>
          <w:color w:val="2B2B2B"/>
          <w:spacing w:val="-5"/>
          <w:w w:val="105"/>
          <w:sz w:val="21"/>
        </w:rPr>
        <w:t xml:space="preserve"> </w:t>
      </w:r>
      <w:r>
        <w:rPr>
          <w:i/>
          <w:color w:val="2B2B2B"/>
          <w:w w:val="105"/>
        </w:rPr>
        <w:t>Controlling sensitive</w:t>
      </w:r>
      <w:r>
        <w:rPr>
          <w:i/>
          <w:color w:val="2B2B2B"/>
          <w:spacing w:val="-4"/>
          <w:w w:val="105"/>
        </w:rPr>
        <w:t xml:space="preserve"> </w:t>
      </w:r>
      <w:r>
        <w:rPr>
          <w:i/>
          <w:color w:val="2B2B2B"/>
          <w:w w:val="105"/>
        </w:rPr>
        <w:t xml:space="preserve">expenditure: Guide for public </w:t>
      </w:r>
      <w:proofErr w:type="spellStart"/>
      <w:r>
        <w:rPr>
          <w:i/>
          <w:color w:val="2B2B2B"/>
          <w:w w:val="105"/>
        </w:rPr>
        <w:t>organisations</w:t>
      </w:r>
      <w:proofErr w:type="spellEnd"/>
      <w:r>
        <w:rPr>
          <w:i/>
          <w:color w:val="2B2B2B"/>
          <w:w w:val="105"/>
        </w:rPr>
        <w:t>:</w:t>
      </w:r>
    </w:p>
    <w:p w14:paraId="7407762B" w14:textId="77777777" w:rsidR="00641580" w:rsidRPr="00D32FCF" w:rsidRDefault="00641580" w:rsidP="00641580">
      <w:pPr>
        <w:pStyle w:val="ListParagraph"/>
        <w:tabs>
          <w:tab w:val="left" w:pos="604"/>
          <w:tab w:val="left" w:pos="1134"/>
        </w:tabs>
        <w:spacing w:before="0"/>
        <w:ind w:left="567" w:hanging="567"/>
        <w:rPr>
          <w:iCs/>
          <w:color w:val="161616"/>
          <w:sz w:val="21"/>
        </w:rPr>
      </w:pPr>
    </w:p>
    <w:p w14:paraId="5D4D3F43" w14:textId="77777777" w:rsidR="00641580" w:rsidRPr="00D32FCF" w:rsidRDefault="00641580" w:rsidP="00641580">
      <w:pPr>
        <w:pStyle w:val="ListParagraph"/>
        <w:tabs>
          <w:tab w:val="left" w:pos="604"/>
          <w:tab w:val="left" w:pos="1134"/>
        </w:tabs>
        <w:spacing w:before="0"/>
        <w:ind w:left="567" w:hanging="567"/>
        <w:rPr>
          <w:iCs/>
          <w:color w:val="161616"/>
          <w:sz w:val="21"/>
        </w:rPr>
      </w:pPr>
      <w:r>
        <w:rPr>
          <w:iCs/>
          <w:color w:val="161616"/>
          <w:sz w:val="21"/>
        </w:rPr>
        <w:tab/>
      </w:r>
      <w:hyperlink r:id="rId12" w:history="1">
        <w:r w:rsidRPr="00D32FCF">
          <w:rPr>
            <w:rStyle w:val="Hyperlink"/>
            <w:iCs/>
            <w:sz w:val="21"/>
          </w:rPr>
          <w:t>https://oag.parliament.nz/2020/sensitive-expenditure</w:t>
        </w:r>
      </w:hyperlink>
    </w:p>
    <w:p w14:paraId="7780E00D" w14:textId="77777777" w:rsidR="00641580" w:rsidRDefault="00641580" w:rsidP="00641580">
      <w:pPr>
        <w:pStyle w:val="ListParagraph"/>
        <w:tabs>
          <w:tab w:val="left" w:pos="604"/>
          <w:tab w:val="left" w:pos="1134"/>
        </w:tabs>
        <w:spacing w:before="0"/>
        <w:ind w:left="567" w:hanging="567"/>
        <w:rPr>
          <w:i/>
          <w:color w:val="161616"/>
          <w:sz w:val="21"/>
        </w:rPr>
      </w:pPr>
    </w:p>
    <w:p w14:paraId="26205673" w14:textId="77777777" w:rsidR="00BB35C7" w:rsidRDefault="00BB35C7" w:rsidP="00641580"/>
    <w:sectPr w:rsidR="00BB3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79C"/>
    <w:multiLevelType w:val="hybridMultilevel"/>
    <w:tmpl w:val="DB9A27DA"/>
    <w:lvl w:ilvl="0" w:tplc="2DDEE666">
      <w:start w:val="1"/>
      <w:numFmt w:val="decimal"/>
      <w:lvlText w:val="%1."/>
      <w:lvlJc w:val="left"/>
      <w:pPr>
        <w:ind w:left="644" w:hanging="360"/>
      </w:pPr>
      <w:rPr>
        <w:rFonts w:hint="default"/>
        <w:i w:val="0"/>
        <w:iCs/>
        <w:spacing w:val="-1"/>
        <w:w w:val="105"/>
        <w:vertAlign w:val="baseline"/>
      </w:rPr>
    </w:lvl>
    <w:lvl w:ilvl="1" w:tplc="D6D42FFA">
      <w:numFmt w:val="bullet"/>
      <w:lvlText w:val="•"/>
      <w:lvlJc w:val="left"/>
      <w:pPr>
        <w:ind w:left="996" w:hanging="357"/>
      </w:pPr>
      <w:rPr>
        <w:rFonts w:hint="default"/>
        <w:w w:val="109"/>
      </w:rPr>
    </w:lvl>
    <w:lvl w:ilvl="2" w:tplc="DDA0BE6E">
      <w:numFmt w:val="bullet"/>
      <w:lvlText w:val="•"/>
      <w:lvlJc w:val="left"/>
      <w:pPr>
        <w:ind w:left="1953" w:hanging="357"/>
      </w:pPr>
      <w:rPr>
        <w:rFonts w:hint="default"/>
      </w:rPr>
    </w:lvl>
    <w:lvl w:ilvl="3" w:tplc="30A6A5C2">
      <w:numFmt w:val="bullet"/>
      <w:lvlText w:val="•"/>
      <w:lvlJc w:val="left"/>
      <w:pPr>
        <w:ind w:left="2907" w:hanging="357"/>
      </w:pPr>
      <w:rPr>
        <w:rFonts w:hint="default"/>
      </w:rPr>
    </w:lvl>
    <w:lvl w:ilvl="4" w:tplc="6CF6A8AA">
      <w:numFmt w:val="bullet"/>
      <w:lvlText w:val="•"/>
      <w:lvlJc w:val="left"/>
      <w:pPr>
        <w:ind w:left="3861" w:hanging="357"/>
      </w:pPr>
      <w:rPr>
        <w:rFonts w:hint="default"/>
      </w:rPr>
    </w:lvl>
    <w:lvl w:ilvl="5" w:tplc="03701D66">
      <w:numFmt w:val="bullet"/>
      <w:lvlText w:val="•"/>
      <w:lvlJc w:val="left"/>
      <w:pPr>
        <w:ind w:left="4815" w:hanging="357"/>
      </w:pPr>
      <w:rPr>
        <w:rFonts w:hint="default"/>
      </w:rPr>
    </w:lvl>
    <w:lvl w:ilvl="6" w:tplc="14A8E75A">
      <w:numFmt w:val="bullet"/>
      <w:lvlText w:val="•"/>
      <w:lvlJc w:val="left"/>
      <w:pPr>
        <w:ind w:left="5769" w:hanging="357"/>
      </w:pPr>
      <w:rPr>
        <w:rFonts w:hint="default"/>
      </w:rPr>
    </w:lvl>
    <w:lvl w:ilvl="7" w:tplc="0A64F9E6">
      <w:numFmt w:val="bullet"/>
      <w:lvlText w:val="•"/>
      <w:lvlJc w:val="left"/>
      <w:pPr>
        <w:ind w:left="6723" w:hanging="357"/>
      </w:pPr>
      <w:rPr>
        <w:rFonts w:hint="default"/>
      </w:rPr>
    </w:lvl>
    <w:lvl w:ilvl="8" w:tplc="74045FA6">
      <w:numFmt w:val="bullet"/>
      <w:lvlText w:val="•"/>
      <w:lvlJc w:val="left"/>
      <w:pPr>
        <w:ind w:left="767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80"/>
    <w:rsid w:val="002942C4"/>
    <w:rsid w:val="00641580"/>
    <w:rsid w:val="00BB35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3458"/>
  <w15:chartTrackingRefBased/>
  <w15:docId w15:val="{93E1C771-87F0-475A-AFDA-95A718FA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1580"/>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641580"/>
    <w:pPr>
      <w:ind w:left="299"/>
      <w:outlineLvl w:val="1"/>
    </w:pPr>
    <w:rPr>
      <w:b/>
      <w:bCs/>
      <w:sz w:val="25"/>
      <w:szCs w:val="25"/>
    </w:rPr>
  </w:style>
  <w:style w:type="paragraph" w:styleId="Heading3">
    <w:name w:val="heading 3"/>
    <w:basedOn w:val="Normal"/>
    <w:link w:val="Heading3Char"/>
    <w:uiPriority w:val="1"/>
    <w:qFormat/>
    <w:rsid w:val="00641580"/>
    <w:pPr>
      <w:ind w:left="635"/>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41580"/>
    <w:rPr>
      <w:rFonts w:ascii="Arial" w:eastAsia="Arial" w:hAnsi="Arial" w:cs="Arial"/>
      <w:b/>
      <w:bCs/>
      <w:sz w:val="25"/>
      <w:szCs w:val="25"/>
      <w:lang w:val="en-US"/>
    </w:rPr>
  </w:style>
  <w:style w:type="character" w:customStyle="1" w:styleId="Heading3Char">
    <w:name w:val="Heading 3 Char"/>
    <w:basedOn w:val="DefaultParagraphFont"/>
    <w:link w:val="Heading3"/>
    <w:uiPriority w:val="1"/>
    <w:rsid w:val="00641580"/>
    <w:rPr>
      <w:rFonts w:ascii="Arial" w:eastAsia="Arial" w:hAnsi="Arial" w:cs="Arial"/>
      <w:sz w:val="21"/>
      <w:szCs w:val="21"/>
      <w:lang w:val="en-US"/>
    </w:rPr>
  </w:style>
  <w:style w:type="paragraph" w:styleId="BodyText">
    <w:name w:val="Body Text"/>
    <w:basedOn w:val="Normal"/>
    <w:link w:val="BodyTextChar"/>
    <w:uiPriority w:val="1"/>
    <w:qFormat/>
    <w:rsid w:val="00641580"/>
    <w:rPr>
      <w:sz w:val="20"/>
      <w:szCs w:val="20"/>
    </w:rPr>
  </w:style>
  <w:style w:type="character" w:customStyle="1" w:styleId="BodyTextChar">
    <w:name w:val="Body Text Char"/>
    <w:basedOn w:val="DefaultParagraphFont"/>
    <w:link w:val="BodyText"/>
    <w:uiPriority w:val="1"/>
    <w:rsid w:val="00641580"/>
    <w:rPr>
      <w:rFonts w:ascii="Arial" w:eastAsia="Arial" w:hAnsi="Arial" w:cs="Arial"/>
      <w:sz w:val="20"/>
      <w:szCs w:val="20"/>
      <w:lang w:val="en-US"/>
    </w:rPr>
  </w:style>
  <w:style w:type="paragraph" w:styleId="ListParagraph">
    <w:name w:val="List Paragraph"/>
    <w:basedOn w:val="Normal"/>
    <w:uiPriority w:val="1"/>
    <w:qFormat/>
    <w:rsid w:val="00641580"/>
    <w:pPr>
      <w:spacing w:before="1"/>
      <w:ind w:left="985" w:hanging="362"/>
    </w:pPr>
  </w:style>
  <w:style w:type="character" w:styleId="Hyperlink">
    <w:name w:val="Hyperlink"/>
    <w:basedOn w:val="DefaultParagraphFont"/>
    <w:uiPriority w:val="99"/>
    <w:unhideWhenUsed/>
    <w:rsid w:val="00641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our-work/legislation/na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t.nz/assets/Uploads/Financial-Information-for-Schools-Handbook-2019.pdf" TargetMode="External"/><Relationship Id="rId12" Type="http://schemas.openxmlformats.org/officeDocument/2006/relationships/hyperlink" Target="https://oag.parliament.nz/2020/sensitive-expendi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sta.org.nz/our-organisation/contact-us/" TargetMode="External"/><Relationship Id="rId11" Type="http://schemas.openxmlformats.org/officeDocument/2006/relationships/hyperlink" Target="https://www.publicservice.govt.nz/resources/govt-expectations-pay-employment/" TargetMode="External"/><Relationship Id="rId5" Type="http://schemas.openxmlformats.org/officeDocument/2006/relationships/hyperlink" Target="https://www.nzsta.org.nz/understanding-the-work-of-the-board/" TargetMode="External"/><Relationship Id="rId10" Type="http://schemas.openxmlformats.org/officeDocument/2006/relationships/hyperlink" Target="https://www.ird.govt.nz/employing-staff/paying-staff/fringe-benefit-tax" TargetMode="External"/><Relationship Id="rId4" Type="http://schemas.openxmlformats.org/officeDocument/2006/relationships/webSettings" Target="webSettings.xml"/><Relationship Id="rId9" Type="http://schemas.openxmlformats.org/officeDocument/2006/relationships/hyperlink" Target="https://www.education.govt.nz/school/people-and-employment/employment-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2209</Characters>
  <Application>Microsoft Office Word</Application>
  <DocSecurity>0</DocSecurity>
  <Lines>18</Lines>
  <Paragraphs>5</Paragraphs>
  <ScaleCrop>false</ScaleCrop>
  <Company>Ministry of Education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McMillan</dc:creator>
  <cp:keywords/>
  <dc:description/>
  <cp:lastModifiedBy>Alica McMillan</cp:lastModifiedBy>
  <cp:revision>2</cp:revision>
  <dcterms:created xsi:type="dcterms:W3CDTF">2020-11-29T22:26:00Z</dcterms:created>
  <dcterms:modified xsi:type="dcterms:W3CDTF">2020-11-29T22:26:00Z</dcterms:modified>
</cp:coreProperties>
</file>