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0EB8" w14:textId="77777777" w:rsidR="00721BC0" w:rsidRDefault="00721BC0" w:rsidP="009A7FB0">
      <w:pPr>
        <w:pStyle w:val="MoEHeading2"/>
        <w:spacing w:before="0" w:after="0"/>
        <w:contextualSpacing/>
        <w:rPr>
          <w:rFonts w:cs="Arial"/>
        </w:rPr>
      </w:pPr>
      <w:bookmarkStart w:id="0" w:name="_Toc49275493"/>
      <w:r>
        <w:rPr>
          <w:rFonts w:cs="Arial"/>
        </w:rPr>
        <w:t>PBRF Review – Written Submission Template</w:t>
      </w:r>
    </w:p>
    <w:p w14:paraId="6A9154D1" w14:textId="77777777" w:rsidR="00721BC0" w:rsidRDefault="00721BC0" w:rsidP="009A7FB0">
      <w:pPr>
        <w:pStyle w:val="MoEBodyText"/>
        <w:spacing w:after="0" w:line="240" w:lineRule="auto"/>
        <w:contextualSpacing/>
        <w:rPr>
          <w:rFonts w:cs="Arial"/>
        </w:rPr>
      </w:pPr>
      <w:r>
        <w:rPr>
          <w:rFonts w:cs="Arial"/>
        </w:rPr>
        <w:t>We welcome written submissions on the proposed changes and options for strengthening the PBRF, as part of the PBRF Review consultation. Feel free to use t</w:t>
      </w:r>
      <w:r w:rsidRPr="00721BC0">
        <w:rPr>
          <w:rFonts w:cs="Arial"/>
        </w:rPr>
        <w:t>his submission template</w:t>
      </w:r>
      <w:r>
        <w:rPr>
          <w:rFonts w:cs="Arial"/>
        </w:rPr>
        <w:t xml:space="preserve"> and the </w:t>
      </w:r>
      <w:r w:rsidR="00E66B5F">
        <w:rPr>
          <w:rFonts w:cs="Arial"/>
        </w:rPr>
        <w:t xml:space="preserve">suggested </w:t>
      </w:r>
      <w:r>
        <w:rPr>
          <w:rFonts w:cs="Arial"/>
        </w:rPr>
        <w:t>discussion prompts</w:t>
      </w:r>
      <w:r w:rsidRPr="00721BC0">
        <w:rPr>
          <w:rFonts w:cs="Arial"/>
        </w:rPr>
        <w:t xml:space="preserve"> to </w:t>
      </w:r>
      <w:r>
        <w:rPr>
          <w:rFonts w:cs="Arial"/>
        </w:rPr>
        <w:t xml:space="preserve">guide your feedback. Please refer to the PBRF Review Discussion Document directly for information on the proposed changes and options that we are consulting on. </w:t>
      </w:r>
    </w:p>
    <w:p w14:paraId="646FB86B" w14:textId="77777777" w:rsidR="009A7FB0" w:rsidRDefault="009A7FB0" w:rsidP="009A7FB0">
      <w:pPr>
        <w:pStyle w:val="MoEBodyText"/>
        <w:spacing w:after="0" w:line="240" w:lineRule="auto"/>
        <w:contextualSpacing/>
        <w:rPr>
          <w:rFonts w:cs="Arial"/>
        </w:rPr>
      </w:pPr>
    </w:p>
    <w:p w14:paraId="2D02C4FA" w14:textId="3585EE15" w:rsidR="00721BC0" w:rsidRPr="00721BC0" w:rsidRDefault="00721BC0" w:rsidP="009A7FB0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1BC0">
        <w:rPr>
          <w:rFonts w:ascii="Arial" w:hAnsi="Arial" w:cs="Arial"/>
          <w:sz w:val="20"/>
          <w:szCs w:val="20"/>
        </w:rPr>
        <w:t xml:space="preserve">Please email your submission to: </w:t>
      </w:r>
      <w:hyperlink r:id="rId8" w:history="1">
        <w:r w:rsidRPr="00721BC0">
          <w:rPr>
            <w:rStyle w:val="Hyperlink"/>
            <w:rFonts w:ascii="Arial" w:hAnsi="Arial" w:cs="Arial"/>
            <w:sz w:val="20"/>
            <w:szCs w:val="20"/>
          </w:rPr>
          <w:t>pbrf.consultation@education.govt.nz</w:t>
        </w:r>
      </w:hyperlink>
      <w:r>
        <w:rPr>
          <w:rFonts w:ascii="Arial" w:hAnsi="Arial" w:cs="Arial"/>
          <w:sz w:val="20"/>
          <w:szCs w:val="20"/>
        </w:rPr>
        <w:t xml:space="preserve">, before 5pm on Friday </w:t>
      </w:r>
      <w:r w:rsidR="00290644">
        <w:rPr>
          <w:rFonts w:ascii="Arial" w:hAnsi="Arial" w:cs="Arial"/>
          <w:sz w:val="20"/>
          <w:szCs w:val="20"/>
        </w:rPr>
        <w:t>6 November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. </w:t>
      </w:r>
      <w:r w:rsidR="009A7F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E4B7812" w14:textId="77777777" w:rsidR="00332383" w:rsidRDefault="00942C15" w:rsidP="009A7FB0">
      <w:pPr>
        <w:pStyle w:val="MoEHeading2"/>
        <w:spacing w:before="0" w:after="0"/>
        <w:contextualSpacing/>
        <w:rPr>
          <w:rFonts w:cs="Arial"/>
        </w:rPr>
      </w:pPr>
      <w:r>
        <w:rPr>
          <w:rFonts w:cs="Arial"/>
        </w:rPr>
        <w:t xml:space="preserve">Key objective one: </w:t>
      </w:r>
      <w:r w:rsidR="00332383" w:rsidRPr="00C22AA3">
        <w:rPr>
          <w:rFonts w:cs="Arial"/>
        </w:rPr>
        <w:t xml:space="preserve">Broadening the PBRF </w:t>
      </w:r>
      <w:r w:rsidR="001B5BAE" w:rsidRPr="00C22AA3">
        <w:rPr>
          <w:rFonts w:cs="Arial"/>
        </w:rPr>
        <w:t>concept of</w:t>
      </w:r>
      <w:r w:rsidR="00332383" w:rsidRPr="00C22AA3">
        <w:rPr>
          <w:rFonts w:cs="Arial"/>
        </w:rPr>
        <w:t xml:space="preserve"> research excellence</w:t>
      </w:r>
      <w:bookmarkEnd w:id="0"/>
    </w:p>
    <w:p w14:paraId="104A2ECC" w14:textId="77777777" w:rsidR="009A7FB0" w:rsidRPr="009A7FB0" w:rsidRDefault="009A7FB0" w:rsidP="009A7FB0">
      <w:pPr>
        <w:pStyle w:val="MoEBodyText"/>
      </w:pPr>
    </w:p>
    <w:p w14:paraId="08F1FCF0" w14:textId="77777777" w:rsidR="00332383" w:rsidRPr="00C22AA3" w:rsidRDefault="00332383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bookmarkStart w:id="2" w:name="_Toc47081801"/>
      <w:bookmarkStart w:id="3" w:name="_Toc49275494"/>
      <w:r w:rsidRPr="00C22AA3">
        <w:rPr>
          <w:rFonts w:cs="Arial"/>
          <w:szCs w:val="20"/>
        </w:rPr>
        <w:t>Modifying the current objectives of the PBRF</w:t>
      </w:r>
      <w:bookmarkEnd w:id="2"/>
      <w:bookmarkEnd w:id="3"/>
      <w:r w:rsidR="009A7FB0">
        <w:rPr>
          <w:rFonts w:cs="Arial"/>
          <w:szCs w:val="20"/>
        </w:rPr>
        <w:br/>
      </w:r>
    </w:p>
    <w:p w14:paraId="468138D6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Adding a new objective, that “</w:t>
      </w:r>
      <w:r w:rsidRPr="00C22AA3">
        <w:rPr>
          <w:rFonts w:ascii="Arial" w:hAnsi="Arial" w:cs="Arial"/>
          <w:i/>
          <w:sz w:val="20"/>
          <w:szCs w:val="20"/>
        </w:rPr>
        <w:t>the PBRF</w:t>
      </w:r>
      <w:r w:rsidRPr="00C22AA3">
        <w:rPr>
          <w:rFonts w:ascii="Arial" w:hAnsi="Arial" w:cs="Arial"/>
          <w:sz w:val="20"/>
          <w:szCs w:val="20"/>
        </w:rPr>
        <w:t xml:space="preserve"> </w:t>
      </w:r>
      <w:r w:rsidRPr="00C22AA3">
        <w:rPr>
          <w:rFonts w:ascii="Arial" w:hAnsi="Arial" w:cs="Arial"/>
          <w:i/>
          <w:sz w:val="20"/>
          <w:szCs w:val="20"/>
        </w:rPr>
        <w:t>ensure a flourishing and inclusive system for developing and sustaining research excellence in New Zealand</w:t>
      </w:r>
      <w:r w:rsidRPr="00C22AA3">
        <w:rPr>
          <w:rFonts w:ascii="Arial" w:hAnsi="Arial" w:cs="Arial"/>
          <w:sz w:val="20"/>
          <w:szCs w:val="20"/>
        </w:rPr>
        <w:t>”</w:t>
      </w:r>
    </w:p>
    <w:p w14:paraId="666E45AD" w14:textId="77777777" w:rsidR="00E66B5F" w:rsidRDefault="00E66B5F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2F73F92E" w14:textId="77777777" w:rsidR="00E66B5F" w:rsidRPr="002F2BBB" w:rsidRDefault="00E66B5F" w:rsidP="009A7FB0">
      <w:pPr>
        <w:pStyle w:val="ListParagraph"/>
        <w:spacing w:after="0" w:line="240" w:lineRule="auto"/>
        <w:ind w:left="0" w:firstLine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0F2B32CE" w14:textId="77777777" w:rsidR="009B5AA6" w:rsidRPr="009B5AA6" w:rsidRDefault="009B5AA6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>Do you support the addition of this proposed objective?</w:t>
      </w:r>
    </w:p>
    <w:p w14:paraId="0748BB31" w14:textId="77777777" w:rsidR="009B5AA6" w:rsidRDefault="009B5AA6" w:rsidP="009A7FB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>Are there any changes you would make to this proposed objective?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9B5AA6" w14:paraId="5A874353" w14:textId="77777777" w:rsidTr="009B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FCAD" w14:textId="77777777" w:rsidR="009B5AA6" w:rsidRDefault="009B5AA6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EB620" w14:textId="77777777" w:rsidR="00332383" w:rsidRPr="00C22AA3" w:rsidRDefault="00942C15" w:rsidP="00942C15">
      <w:pPr>
        <w:pStyle w:val="BodyText"/>
      </w:pPr>
      <w:bookmarkStart w:id="4" w:name="_Toc36381248"/>
      <w:bookmarkStart w:id="5" w:name="_Toc36381598"/>
      <w:bookmarkStart w:id="6" w:name="_Toc36381664"/>
      <w:bookmarkStart w:id="7" w:name="_Toc36382221"/>
      <w:bookmarkStart w:id="8" w:name="_Toc36382753"/>
      <w:bookmarkStart w:id="9" w:name="_Toc36382994"/>
      <w:bookmarkStart w:id="10" w:name="_Toc36383078"/>
      <w:bookmarkStart w:id="11" w:name="_Toc47081802"/>
      <w:bookmarkStart w:id="12" w:name="_Toc49275495"/>
      <w:bookmarkEnd w:id="4"/>
      <w:bookmarkEnd w:id="5"/>
      <w:bookmarkEnd w:id="6"/>
      <w:bookmarkEnd w:id="7"/>
      <w:bookmarkEnd w:id="8"/>
      <w:bookmarkEnd w:id="9"/>
      <w:bookmarkEnd w:id="10"/>
      <w:r w:rsidRPr="00942C15">
        <w:rPr>
          <w:rStyle w:val="BodyTextChar"/>
        </w:rPr>
        <w:br/>
      </w:r>
      <w:r w:rsidR="00721BC0">
        <w:br/>
      </w:r>
      <w:r w:rsidR="00332383" w:rsidRPr="00942C15">
        <w:rPr>
          <w:rFonts w:eastAsiaTheme="majorEastAsia" w:cs="Arial"/>
          <w:b/>
          <w:color w:val="FF7E00"/>
        </w:rPr>
        <w:t>Refreshing the PBRF’s definition of research excellence</w:t>
      </w:r>
      <w:bookmarkEnd w:id="11"/>
      <w:bookmarkEnd w:id="12"/>
    </w:p>
    <w:p w14:paraId="250D9D7A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Rewording the PBRF definition of research to: emphasise excellence; encompass the production of research, engagement and impact relating to that research; and support for vibrant</w:t>
      </w:r>
      <w:r w:rsidR="00EC116E" w:rsidRPr="00C22AA3">
        <w:rPr>
          <w:rFonts w:ascii="Arial" w:hAnsi="Arial" w:cs="Arial"/>
          <w:sz w:val="20"/>
          <w:szCs w:val="20"/>
        </w:rPr>
        <w:t>, diverse research cultures.</w:t>
      </w:r>
    </w:p>
    <w:p w14:paraId="165F1F79" w14:textId="77777777" w:rsidR="00E66B5F" w:rsidRPr="00C22AA3" w:rsidRDefault="00E66B5F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5A4729BD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i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Replacing the Nominated Research Outputs (NRO) component with </w:t>
      </w:r>
      <w:r w:rsidRPr="00C22AA3">
        <w:rPr>
          <w:rFonts w:ascii="Arial" w:hAnsi="Arial" w:cs="Arial"/>
          <w:i/>
          <w:sz w:val="20"/>
          <w:szCs w:val="20"/>
        </w:rPr>
        <w:t>Examples of Research Excellence (ERE);</w:t>
      </w:r>
    </w:p>
    <w:p w14:paraId="77192E1E" w14:textId="77777777" w:rsidR="00E66B5F" w:rsidRPr="00C22AA3" w:rsidRDefault="00E66B5F" w:rsidP="009A7FB0">
      <w:pPr>
        <w:pStyle w:val="ListParagraph"/>
        <w:spacing w:after="0" w:line="240" w:lineRule="auto"/>
        <w:ind w:left="0"/>
        <w:jc w:val="left"/>
        <w:rPr>
          <w:rFonts w:ascii="Arial" w:hAnsi="Arial" w:cs="Arial"/>
          <w:i/>
          <w:sz w:val="20"/>
          <w:szCs w:val="20"/>
        </w:rPr>
      </w:pPr>
    </w:p>
    <w:p w14:paraId="1C0B3BC6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Replacing the Other Nominated Research Outputs (ONRO) component with </w:t>
      </w:r>
      <w:r w:rsidRPr="00C22AA3">
        <w:rPr>
          <w:rFonts w:ascii="Arial" w:hAnsi="Arial" w:cs="Arial"/>
          <w:i/>
          <w:sz w:val="20"/>
          <w:szCs w:val="20"/>
        </w:rPr>
        <w:t xml:space="preserve">Other Examples of Research Excellence (OERE) </w:t>
      </w:r>
      <w:r w:rsidRPr="00C22AA3">
        <w:rPr>
          <w:rFonts w:ascii="Arial" w:hAnsi="Arial" w:cs="Arial"/>
          <w:sz w:val="20"/>
          <w:szCs w:val="20"/>
        </w:rPr>
        <w:t>and reducing the maximum number from twelve to six;</w:t>
      </w:r>
    </w:p>
    <w:p w14:paraId="7600CC9B" w14:textId="77777777" w:rsidR="00E66B5F" w:rsidRPr="00C22AA3" w:rsidRDefault="00E66B5F" w:rsidP="009A7FB0">
      <w:pPr>
        <w:pStyle w:val="ListParagraph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17B6408F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Refocusing the Research Contributions section on the best examples of activities that contribute to the sustainability and viability of the research system (see </w:t>
      </w:r>
      <w:r w:rsidR="00B63CA2" w:rsidRPr="00C22AA3">
        <w:rPr>
          <w:rFonts w:ascii="Arial" w:hAnsi="Arial" w:cs="Arial"/>
          <w:sz w:val="20"/>
          <w:szCs w:val="20"/>
        </w:rPr>
        <w:t>Annex Three</w:t>
      </w:r>
      <w:r w:rsidR="0066436F" w:rsidRPr="00C22AA3">
        <w:rPr>
          <w:rFonts w:ascii="Arial" w:hAnsi="Arial" w:cs="Arial"/>
          <w:sz w:val="20"/>
          <w:szCs w:val="20"/>
        </w:rPr>
        <w:t xml:space="preserve">). </w:t>
      </w:r>
      <w:r w:rsidR="00E66B5F">
        <w:rPr>
          <w:rFonts w:ascii="Arial" w:hAnsi="Arial" w:cs="Arial"/>
          <w:sz w:val="20"/>
          <w:szCs w:val="20"/>
        </w:rPr>
        <w:br/>
      </w:r>
    </w:p>
    <w:p w14:paraId="45D7774E" w14:textId="77777777" w:rsidR="00E66B5F" w:rsidRPr="002F2BBB" w:rsidRDefault="00E66B5F" w:rsidP="009A7FB0">
      <w:pPr>
        <w:pStyle w:val="ListParagraph"/>
        <w:spacing w:after="0" w:line="240" w:lineRule="auto"/>
        <w:ind w:left="0" w:firstLine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7608BE81" w14:textId="77777777" w:rsidR="00721BC0" w:rsidRDefault="009B5AA6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>Do you support the</w:t>
      </w:r>
      <w:r w:rsidR="00721BC0">
        <w:rPr>
          <w:rFonts w:ascii="Arial" w:hAnsi="Arial" w:cs="Arial"/>
          <w:sz w:val="20"/>
          <w:szCs w:val="20"/>
        </w:rPr>
        <w:t xml:space="preserve">se proposed changes and options? </w:t>
      </w:r>
    </w:p>
    <w:p w14:paraId="48814C88" w14:textId="77777777" w:rsidR="009B5AA6" w:rsidRPr="009B5AA6" w:rsidRDefault="009B5AA6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 xml:space="preserve">What benefits and extra costs could the proposed ERE and OERE components have for TEOs in engaging with the Quality Evaluation? </w:t>
      </w:r>
    </w:p>
    <w:p w14:paraId="2361C604" w14:textId="77777777" w:rsidR="009B5AA6" w:rsidRPr="009B5AA6" w:rsidRDefault="009B5AA6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>Aside from the proposed ERE components, are there other components of the Evidence Portfolios where research impact should be assessed?</w:t>
      </w:r>
    </w:p>
    <w:p w14:paraId="78F63B4D" w14:textId="77777777" w:rsidR="009B5AA6" w:rsidRDefault="009B5AA6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AA6">
        <w:rPr>
          <w:rFonts w:ascii="Arial" w:hAnsi="Arial" w:cs="Arial"/>
          <w:sz w:val="20"/>
          <w:szCs w:val="20"/>
        </w:rPr>
        <w:t>Are there additional considerations that should be made for these proposals, including in the context of COVID-19?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9B5AA6" w14:paraId="5D9C9945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D7D" w14:textId="77777777" w:rsidR="009B5AA6" w:rsidRDefault="009B5AA6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0C322" w14:textId="77777777" w:rsidR="00332383" w:rsidRPr="00C22AA3" w:rsidRDefault="00332383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bookmarkStart w:id="13" w:name="_Toc47081803"/>
      <w:bookmarkStart w:id="14" w:name="_Toc49275496"/>
      <w:r w:rsidRPr="00C22AA3">
        <w:rPr>
          <w:rFonts w:cs="Arial"/>
          <w:szCs w:val="20"/>
        </w:rPr>
        <w:lastRenderedPageBreak/>
        <w:t>Reviewing subject areas</w:t>
      </w:r>
      <w:bookmarkEnd w:id="13"/>
      <w:bookmarkEnd w:id="14"/>
      <w:r w:rsidR="009A7FB0">
        <w:rPr>
          <w:rFonts w:cs="Arial"/>
          <w:szCs w:val="20"/>
        </w:rPr>
        <w:br/>
      </w:r>
    </w:p>
    <w:p w14:paraId="273ACBBD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Reviewing subject area weightings to ensure they accurately reflect the costs to TEOs in undertaking a full range of research. </w:t>
      </w:r>
      <w:r w:rsidR="00E66B5F">
        <w:rPr>
          <w:rFonts w:ascii="Arial" w:hAnsi="Arial" w:cs="Arial"/>
          <w:sz w:val="20"/>
          <w:szCs w:val="20"/>
        </w:rPr>
        <w:br/>
      </w:r>
    </w:p>
    <w:p w14:paraId="15A6EA14" w14:textId="77777777" w:rsidR="00E66B5F" w:rsidRPr="002F2BBB" w:rsidRDefault="00E66B5F" w:rsidP="009A7FB0">
      <w:pPr>
        <w:pStyle w:val="ListParagraph"/>
        <w:spacing w:after="0" w:line="240" w:lineRule="auto"/>
        <w:ind w:left="0" w:firstLine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3F6EC1A1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believe the current subject area weightings accurately reflect the costs of research?</w:t>
      </w:r>
    </w:p>
    <w:p w14:paraId="17071874" w14:textId="77777777" w:rsidR="007C0CD0" w:rsidRPr="00C22AA3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support the proposed review of the current subject area weightings?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286B1630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E140" w14:textId="77777777" w:rsidR="007C0CD0" w:rsidRDefault="007C0CD0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5" w:name="_Toc47081804"/>
            <w:bookmarkStart w:id="16" w:name="_Toc49275497"/>
          </w:p>
        </w:tc>
      </w:tr>
    </w:tbl>
    <w:p w14:paraId="2F3F0349" w14:textId="77777777" w:rsidR="009B5AA6" w:rsidRDefault="009B5AA6" w:rsidP="009A7FB0">
      <w:pPr>
        <w:spacing w:after="0" w:line="240" w:lineRule="auto"/>
        <w:contextualSpacing/>
        <w:rPr>
          <w:rFonts w:ascii="Arial" w:eastAsiaTheme="majorEastAsia" w:hAnsi="Arial" w:cs="Arial"/>
          <w:b/>
          <w:color w:val="009DFF"/>
          <w:sz w:val="24"/>
          <w:szCs w:val="24"/>
        </w:rPr>
      </w:pPr>
    </w:p>
    <w:p w14:paraId="1F6DC4D0" w14:textId="77777777" w:rsidR="009A7FB0" w:rsidRDefault="009A7FB0" w:rsidP="009A7FB0">
      <w:pPr>
        <w:spacing w:after="0" w:line="240" w:lineRule="auto"/>
        <w:contextualSpacing/>
        <w:rPr>
          <w:rFonts w:ascii="Arial" w:eastAsiaTheme="majorEastAsia" w:hAnsi="Arial" w:cs="Arial"/>
          <w:b/>
          <w:color w:val="009DFF"/>
          <w:sz w:val="24"/>
          <w:szCs w:val="24"/>
        </w:rPr>
      </w:pPr>
    </w:p>
    <w:p w14:paraId="5124295E" w14:textId="77777777" w:rsidR="00942C15" w:rsidRDefault="00942C15">
      <w:pPr>
        <w:rPr>
          <w:rFonts w:ascii="Arial" w:eastAsiaTheme="majorEastAsia" w:hAnsi="Arial" w:cs="Arial"/>
          <w:b/>
          <w:color w:val="009DFF"/>
          <w:sz w:val="24"/>
          <w:szCs w:val="24"/>
        </w:rPr>
      </w:pPr>
      <w:r>
        <w:rPr>
          <w:rFonts w:cs="Arial"/>
        </w:rPr>
        <w:br w:type="page"/>
      </w:r>
    </w:p>
    <w:p w14:paraId="7353D1C3" w14:textId="77777777" w:rsidR="00332383" w:rsidRPr="00942C15" w:rsidRDefault="00942C15" w:rsidP="00942C15">
      <w:pPr>
        <w:pStyle w:val="MoEHeading2"/>
        <w:spacing w:before="0" w:after="0"/>
        <w:contextualSpacing/>
        <w:rPr>
          <w:rFonts w:cs="Arial"/>
        </w:rPr>
      </w:pPr>
      <w:r>
        <w:rPr>
          <w:rFonts w:cs="Arial"/>
        </w:rPr>
        <w:lastRenderedPageBreak/>
        <w:t xml:space="preserve">Key objective two: </w:t>
      </w:r>
      <w:r w:rsidR="00332383" w:rsidRPr="00C22AA3">
        <w:rPr>
          <w:rFonts w:cs="Arial"/>
        </w:rPr>
        <w:t>Enabling a more sustainable and diverse research workforce</w:t>
      </w:r>
      <w:bookmarkEnd w:id="15"/>
      <w:bookmarkEnd w:id="16"/>
      <w:r w:rsidR="00332383" w:rsidRPr="00C22AA3">
        <w:rPr>
          <w:rFonts w:cs="Arial"/>
        </w:rPr>
        <w:t xml:space="preserve"> </w:t>
      </w:r>
      <w:r w:rsidR="00D73543">
        <w:rPr>
          <w:rFonts w:cs="Arial"/>
        </w:rPr>
        <w:br/>
      </w:r>
      <w:r w:rsidR="009A7FB0">
        <w:rPr>
          <w:rFonts w:cs="Arial"/>
        </w:rPr>
        <w:br/>
      </w:r>
      <w:bookmarkStart w:id="17" w:name="_Toc47081805"/>
      <w:bookmarkStart w:id="18" w:name="_Toc49275498"/>
      <w:r w:rsidR="00332383" w:rsidRPr="00942C15">
        <w:rPr>
          <w:rFonts w:cs="Arial"/>
          <w:color w:val="FF7E00"/>
          <w:sz w:val="20"/>
          <w:szCs w:val="20"/>
        </w:rPr>
        <w:t>Improving support for mātauranga Māori and Pacific research, and Māori and Pacific researchers</w:t>
      </w:r>
      <w:bookmarkEnd w:id="17"/>
      <w:bookmarkEnd w:id="18"/>
      <w:r w:rsidR="009A7FB0">
        <w:rPr>
          <w:rFonts w:cs="Arial"/>
          <w:szCs w:val="20"/>
        </w:rPr>
        <w:br/>
      </w:r>
    </w:p>
    <w:p w14:paraId="71A32524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Increasing the subject area weighting for EPs assessed by the Māori Knowledge and Development (MKD) and Pacific Research (PR) panels from 1 to 2.5;</w:t>
      </w:r>
      <w:r w:rsidR="00E66B5F">
        <w:rPr>
          <w:rFonts w:ascii="Arial" w:hAnsi="Arial" w:cs="Arial"/>
          <w:sz w:val="20"/>
          <w:szCs w:val="20"/>
        </w:rPr>
        <w:br/>
      </w:r>
    </w:p>
    <w:p w14:paraId="1AD4C74C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Assigning an additional funding weighting of 2 for EPs submitted by staff who identify as Māori or Pacific;</w:t>
      </w:r>
      <w:r w:rsidR="00E66B5F">
        <w:rPr>
          <w:rFonts w:ascii="Arial" w:hAnsi="Arial" w:cs="Arial"/>
          <w:sz w:val="20"/>
          <w:szCs w:val="20"/>
        </w:rPr>
        <w:br/>
      </w:r>
    </w:p>
    <w:p w14:paraId="6FEE73C4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Adop</w:t>
      </w:r>
      <w:r w:rsidR="00D827C0" w:rsidRPr="00C22AA3">
        <w:rPr>
          <w:rFonts w:ascii="Arial" w:hAnsi="Arial" w:cs="Arial"/>
          <w:sz w:val="20"/>
          <w:szCs w:val="20"/>
        </w:rPr>
        <w:t>ting both of the above options.</w:t>
      </w:r>
      <w:r w:rsidR="00E66B5F">
        <w:rPr>
          <w:rFonts w:ascii="Arial" w:hAnsi="Arial" w:cs="Arial"/>
          <w:sz w:val="20"/>
          <w:szCs w:val="20"/>
        </w:rPr>
        <w:br/>
      </w:r>
    </w:p>
    <w:p w14:paraId="29DC1925" w14:textId="77777777" w:rsidR="00E66B5F" w:rsidRPr="002F2BBB" w:rsidRDefault="00E66B5F" w:rsidP="009A7FB0">
      <w:pPr>
        <w:pStyle w:val="ListParagraph"/>
        <w:spacing w:after="0" w:line="240" w:lineRule="auto"/>
        <w:ind w:left="0" w:firstLine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7BBD6C7E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support the proposed increase of subject area weightings for EPs assessed by the MKD and PR panels?</w:t>
      </w:r>
    </w:p>
    <w:p w14:paraId="2CF805A0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 xml:space="preserve">Do you support the proposed additional funding weighting for EPs submitted by Māori and Pacific staff? </w:t>
      </w:r>
    </w:p>
    <w:p w14:paraId="41FC9BAC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support adopting both of the above options?</w:t>
      </w:r>
    </w:p>
    <w:p w14:paraId="12ECF971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What benefits and impacts will these proposed changes to funding weightings have?</w:t>
      </w:r>
    </w:p>
    <w:p w14:paraId="282A235E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For tertiary education leadership and research managers - how would your department/organisation likely respond to these changes?</w:t>
      </w:r>
    </w:p>
    <w:p w14:paraId="739B9347" w14:textId="77777777" w:rsidR="007C0CD0" w:rsidRPr="00C22AA3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Are there alternative measures to better recognise and reward mātauranga Māori and Pacific research and to support Māori and Pacific researchers?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42BFA959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B99" w14:textId="77777777" w:rsidR="007C0CD0" w:rsidRDefault="007C0CD0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9" w:name="_Toc47081806"/>
            <w:bookmarkStart w:id="20" w:name="_Toc49275499"/>
          </w:p>
        </w:tc>
      </w:tr>
    </w:tbl>
    <w:p w14:paraId="4DD0A116" w14:textId="77777777" w:rsidR="00E66B5F" w:rsidRDefault="00E66B5F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</w:p>
    <w:p w14:paraId="57C09618" w14:textId="77777777" w:rsidR="00332383" w:rsidRPr="00C22AA3" w:rsidRDefault="00332383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r w:rsidRPr="00C22AA3">
        <w:rPr>
          <w:rFonts w:cs="Arial"/>
          <w:szCs w:val="20"/>
        </w:rPr>
        <w:t>Reviewing qualifying criteria</w:t>
      </w:r>
      <w:bookmarkEnd w:id="19"/>
      <w:bookmarkEnd w:id="20"/>
      <w:r w:rsidRPr="00C22AA3">
        <w:rPr>
          <w:rFonts w:cs="Arial"/>
          <w:szCs w:val="20"/>
        </w:rPr>
        <w:t xml:space="preserve"> </w:t>
      </w:r>
      <w:r w:rsidR="009A7FB0">
        <w:rPr>
          <w:rFonts w:cs="Arial"/>
          <w:szCs w:val="20"/>
        </w:rPr>
        <w:br/>
      </w:r>
    </w:p>
    <w:p w14:paraId="124AED0A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Reviewing the extraordinary circumstances qualifying criteria</w:t>
      </w:r>
      <w:r w:rsidR="00EC116E" w:rsidRPr="00E66B5F">
        <w:footnoteReference w:id="1"/>
      </w:r>
      <w:r w:rsidRPr="00C22AA3">
        <w:rPr>
          <w:rFonts w:ascii="Arial" w:hAnsi="Arial" w:cs="Arial"/>
          <w:sz w:val="20"/>
          <w:szCs w:val="20"/>
        </w:rPr>
        <w:t>, to introduce a ‘merit relative to opportunity’ concept</w:t>
      </w:r>
      <w:r w:rsidRPr="00E66B5F">
        <w:footnoteReference w:id="2"/>
      </w:r>
      <w:r w:rsidRPr="00C22AA3">
        <w:rPr>
          <w:rFonts w:ascii="Arial" w:hAnsi="Arial" w:cs="Arial"/>
          <w:sz w:val="20"/>
          <w:szCs w:val="20"/>
        </w:rPr>
        <w:t xml:space="preserve"> to be </w:t>
      </w:r>
      <w:r w:rsidR="00EC116E" w:rsidRPr="00C22AA3">
        <w:rPr>
          <w:rFonts w:ascii="Arial" w:hAnsi="Arial" w:cs="Arial"/>
          <w:sz w:val="20"/>
          <w:szCs w:val="20"/>
        </w:rPr>
        <w:t>exercised by peer-review panels;</w:t>
      </w:r>
      <w:r w:rsidR="00E66B5F">
        <w:rPr>
          <w:rFonts w:ascii="Arial" w:hAnsi="Arial" w:cs="Arial"/>
          <w:sz w:val="20"/>
          <w:szCs w:val="20"/>
        </w:rPr>
        <w:br/>
      </w:r>
    </w:p>
    <w:p w14:paraId="5F7455B3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Reviewing the new and emerging qualifying criteria</w:t>
      </w:r>
      <w:r w:rsidR="00EC116E" w:rsidRPr="00E66B5F">
        <w:footnoteReference w:id="3"/>
      </w:r>
      <w:r w:rsidR="00EC116E" w:rsidRPr="00C22AA3">
        <w:rPr>
          <w:rFonts w:ascii="Arial" w:hAnsi="Arial" w:cs="Arial"/>
          <w:sz w:val="20"/>
          <w:szCs w:val="20"/>
        </w:rPr>
        <w:t>, with a view to simplification.</w:t>
      </w:r>
      <w:r w:rsidR="00E66B5F">
        <w:rPr>
          <w:rFonts w:ascii="Arial" w:hAnsi="Arial" w:cs="Arial"/>
          <w:sz w:val="20"/>
          <w:szCs w:val="20"/>
        </w:rPr>
        <w:br/>
      </w:r>
    </w:p>
    <w:p w14:paraId="0D088F4B" w14:textId="77777777" w:rsidR="00E66B5F" w:rsidRPr="002F2BBB" w:rsidRDefault="00E66B5F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1C6DECDE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support the proposed refresh of extraordinary circumstances criteria?</w:t>
      </w:r>
    </w:p>
    <w:p w14:paraId="4024B21A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Do you support the proposed review of new and emerging criteria?</w:t>
      </w:r>
    </w:p>
    <w:p w14:paraId="5AD164CA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Are there aspects of the qualifying criteria that should be modified, added or removed?</w:t>
      </w:r>
    </w:p>
    <w:p w14:paraId="2E146EF4" w14:textId="77777777" w:rsidR="007C0CD0" w:rsidRPr="007C0CD0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 xml:space="preserve">How </w:t>
      </w:r>
      <w:r w:rsidR="00942C15">
        <w:rPr>
          <w:rFonts w:ascii="Arial" w:hAnsi="Arial" w:cs="Arial"/>
          <w:sz w:val="20"/>
          <w:szCs w:val="20"/>
        </w:rPr>
        <w:t>could</w:t>
      </w:r>
      <w:r w:rsidRPr="007C0CD0">
        <w:rPr>
          <w:rFonts w:ascii="Arial" w:hAnsi="Arial" w:cs="Arial"/>
          <w:sz w:val="20"/>
          <w:szCs w:val="20"/>
        </w:rPr>
        <w:t xml:space="preserve"> ‘merit relative to opportunity’ concepts being applied by peer-review panels?</w:t>
      </w:r>
    </w:p>
    <w:p w14:paraId="60F14AC0" w14:textId="77777777" w:rsidR="007C0CD0" w:rsidRPr="00C22AA3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Are there specific considerations that should be made for the proposed review of the extraordinary circumstances qualifying criteria, including in the context of COVID-19?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1E952828" w14:textId="77777777" w:rsidTr="0094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85DD" w14:textId="77777777" w:rsidR="007C0CD0" w:rsidRDefault="007C0CD0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1" w:name="_Improving_how_Government"/>
            <w:bookmarkStart w:id="22" w:name="_Toc47081807"/>
            <w:bookmarkEnd w:id="21"/>
          </w:p>
        </w:tc>
      </w:tr>
    </w:tbl>
    <w:p w14:paraId="5B325B33" w14:textId="77777777" w:rsidR="00332383" w:rsidRPr="00942C15" w:rsidRDefault="00942C15" w:rsidP="00942C15">
      <w:pPr>
        <w:pStyle w:val="MoEHeading2"/>
        <w:spacing w:before="0" w:after="0"/>
        <w:contextualSpacing/>
        <w:rPr>
          <w:rFonts w:cs="Arial"/>
        </w:rPr>
      </w:pPr>
      <w:bookmarkStart w:id="23" w:name="_Toc49275500"/>
      <w:r>
        <w:rPr>
          <w:rFonts w:cs="Arial"/>
        </w:rPr>
        <w:lastRenderedPageBreak/>
        <w:t xml:space="preserve">Key objective three: </w:t>
      </w:r>
      <w:r w:rsidR="00332383" w:rsidRPr="00C22AA3">
        <w:rPr>
          <w:rFonts w:cs="Arial"/>
        </w:rPr>
        <w:t>Improving how Government supports tertiary sector research</w:t>
      </w:r>
      <w:bookmarkEnd w:id="22"/>
      <w:bookmarkEnd w:id="23"/>
      <w:r w:rsidR="00D73543">
        <w:rPr>
          <w:rFonts w:cs="Arial"/>
        </w:rPr>
        <w:br/>
      </w:r>
      <w:r w:rsidR="009A7FB0">
        <w:rPr>
          <w:rFonts w:cs="Arial"/>
        </w:rPr>
        <w:br/>
      </w:r>
      <w:bookmarkStart w:id="24" w:name="_Toc47081808"/>
      <w:bookmarkStart w:id="25" w:name="_Toc49275501"/>
      <w:r w:rsidR="00332383" w:rsidRPr="00942C15">
        <w:rPr>
          <w:rFonts w:cs="Arial"/>
          <w:color w:val="FF7E00"/>
          <w:sz w:val="20"/>
          <w:szCs w:val="20"/>
        </w:rPr>
        <w:t>Progressing work that builds tertiary sector research capability and capacity</w:t>
      </w:r>
      <w:bookmarkEnd w:id="24"/>
      <w:bookmarkEnd w:id="25"/>
      <w:r w:rsidR="00332383" w:rsidRPr="00C22AA3">
        <w:rPr>
          <w:rFonts w:cs="Arial"/>
          <w:szCs w:val="20"/>
        </w:rPr>
        <w:t xml:space="preserve"> </w:t>
      </w:r>
      <w:r w:rsidR="009A7FB0">
        <w:rPr>
          <w:rFonts w:cs="Arial"/>
          <w:szCs w:val="20"/>
        </w:rPr>
        <w:br/>
      </w:r>
    </w:p>
    <w:p w14:paraId="35E1971C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Supporting the NZIST to focus on researcher support and research capability and development, during its transition period;</w:t>
      </w:r>
      <w:r w:rsidR="00E66B5F">
        <w:rPr>
          <w:rFonts w:ascii="Arial" w:hAnsi="Arial" w:cs="Arial"/>
          <w:sz w:val="20"/>
          <w:szCs w:val="20"/>
        </w:rPr>
        <w:br/>
      </w:r>
    </w:p>
    <w:p w14:paraId="2A6ED002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Co-designing with wānanga an appropriate and sustainable funding solution to meet their research aspirations, including through the WRA project;</w:t>
      </w:r>
      <w:r w:rsidR="00E66B5F">
        <w:rPr>
          <w:rFonts w:ascii="Arial" w:hAnsi="Arial" w:cs="Arial"/>
          <w:sz w:val="20"/>
          <w:szCs w:val="20"/>
        </w:rPr>
        <w:br/>
      </w:r>
    </w:p>
    <w:p w14:paraId="782EB776" w14:textId="77777777" w:rsidR="00E66B5F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Working across Government to support a sustainable Māori and Pacific research workforc</w:t>
      </w:r>
      <w:r w:rsidR="00637EF8" w:rsidRPr="00C22AA3">
        <w:rPr>
          <w:rFonts w:ascii="Arial" w:hAnsi="Arial" w:cs="Arial"/>
          <w:sz w:val="20"/>
          <w:szCs w:val="20"/>
        </w:rPr>
        <w:t>e and a diverse research system,</w:t>
      </w:r>
      <w:r w:rsidRPr="00C22AA3">
        <w:rPr>
          <w:rFonts w:ascii="Arial" w:hAnsi="Arial" w:cs="Arial"/>
          <w:sz w:val="20"/>
          <w:szCs w:val="20"/>
        </w:rPr>
        <w:t xml:space="preserve"> </w:t>
      </w:r>
      <w:r w:rsidR="00637EF8" w:rsidRPr="00C22AA3">
        <w:rPr>
          <w:rFonts w:ascii="Arial" w:hAnsi="Arial" w:cs="Arial"/>
          <w:sz w:val="20"/>
          <w:szCs w:val="20"/>
        </w:rPr>
        <w:t xml:space="preserve">including </w:t>
      </w:r>
      <w:r w:rsidRPr="00C22AA3">
        <w:rPr>
          <w:rFonts w:ascii="Arial" w:hAnsi="Arial" w:cs="Arial"/>
          <w:sz w:val="20"/>
          <w:szCs w:val="20"/>
        </w:rPr>
        <w:t>linking in with MBIE’s Equity, Diversity and Inclusion work programme.</w:t>
      </w:r>
      <w:r w:rsidR="00E66B5F">
        <w:rPr>
          <w:rFonts w:ascii="Arial" w:hAnsi="Arial" w:cs="Arial"/>
          <w:sz w:val="20"/>
          <w:szCs w:val="20"/>
        </w:rPr>
        <w:br/>
      </w:r>
    </w:p>
    <w:p w14:paraId="334128CC" w14:textId="77777777" w:rsidR="00E66B5F" w:rsidRPr="002F2BBB" w:rsidRDefault="00E66B5F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65C6E88F" w14:textId="77777777" w:rsidR="00E66B5F" w:rsidRPr="00E66B5F" w:rsidRDefault="007C0CD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CD0">
        <w:rPr>
          <w:rFonts w:ascii="Arial" w:hAnsi="Arial" w:cs="Arial"/>
          <w:sz w:val="20"/>
          <w:szCs w:val="20"/>
        </w:rPr>
        <w:t>Are there additional considerations for improving how Government supports tertiary research, including in the context of COVID-19?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E66B5F" w14:paraId="68A29E49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969C" w14:textId="77777777" w:rsidR="00E66B5F" w:rsidRDefault="00E66B5F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F3887" w14:textId="77777777" w:rsidR="009A7FB0" w:rsidRDefault="009A7FB0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bookmarkStart w:id="26" w:name="_Toc47081809"/>
      <w:bookmarkStart w:id="27" w:name="_Toc49275502"/>
    </w:p>
    <w:p w14:paraId="14485D00" w14:textId="77777777" w:rsidR="00332383" w:rsidRPr="00C22AA3" w:rsidRDefault="00332383" w:rsidP="009A7FB0">
      <w:pPr>
        <w:pStyle w:val="MoEHeading3"/>
        <w:spacing w:before="0" w:after="0" w:line="240" w:lineRule="auto"/>
        <w:contextualSpacing/>
        <w:rPr>
          <w:rFonts w:cs="Arial"/>
          <w:b w:val="0"/>
          <w:szCs w:val="20"/>
        </w:rPr>
      </w:pPr>
      <w:r w:rsidRPr="00C22AA3">
        <w:rPr>
          <w:rFonts w:cs="Arial"/>
          <w:szCs w:val="20"/>
        </w:rPr>
        <w:t>Funding backstop for the NZIST in the next Quality Evaluation;</w:t>
      </w:r>
      <w:bookmarkEnd w:id="26"/>
      <w:bookmarkEnd w:id="27"/>
      <w:r w:rsidR="009A7FB0">
        <w:rPr>
          <w:rFonts w:cs="Arial"/>
          <w:szCs w:val="20"/>
        </w:rPr>
        <w:br/>
      </w:r>
    </w:p>
    <w:p w14:paraId="37248731" w14:textId="77777777" w:rsidR="00E66B5F" w:rsidRPr="00E66B5F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Fixing the minimum proportion of funding to be allocated to the NZIST in the next QE as the proportion allocated through the 2018 QE to ITPs, contingent on the</w:t>
      </w:r>
      <w:r w:rsidR="00D827C0" w:rsidRPr="00C22AA3">
        <w:rPr>
          <w:rFonts w:ascii="Arial" w:hAnsi="Arial" w:cs="Arial"/>
          <w:sz w:val="20"/>
          <w:szCs w:val="20"/>
        </w:rPr>
        <w:t xml:space="preserve"> NZIST participating in the QE.</w:t>
      </w:r>
      <w:r w:rsidR="00E66B5F">
        <w:rPr>
          <w:rFonts w:ascii="Arial" w:hAnsi="Arial" w:cs="Arial"/>
          <w:sz w:val="20"/>
          <w:szCs w:val="20"/>
        </w:rPr>
        <w:br/>
      </w:r>
    </w:p>
    <w:p w14:paraId="0F633380" w14:textId="77777777" w:rsidR="00E66B5F" w:rsidRPr="002F2BBB" w:rsidRDefault="00E66B5F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6BBB8106" w14:textId="77777777" w:rsidR="00E66B5F" w:rsidRPr="00E66B5F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support this</w:t>
      </w:r>
      <w:r w:rsidR="00E66B5F" w:rsidRPr="00E66B5F">
        <w:rPr>
          <w:rFonts w:ascii="Arial" w:hAnsi="Arial" w:cs="Arial"/>
          <w:sz w:val="20"/>
          <w:szCs w:val="20"/>
        </w:rPr>
        <w:t xml:space="preserve"> proposal</w:t>
      </w:r>
      <w:r>
        <w:rPr>
          <w:rFonts w:ascii="Arial" w:hAnsi="Arial" w:cs="Arial"/>
          <w:sz w:val="20"/>
          <w:szCs w:val="20"/>
        </w:rPr>
        <w:t>?</w:t>
      </w:r>
    </w:p>
    <w:p w14:paraId="1351C6FB" w14:textId="77777777" w:rsidR="00955B08" w:rsidRPr="00E66B5F" w:rsidRDefault="00E66B5F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Are there additional considerations, including in the context of COVID-19?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3B9B0971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5224" w14:textId="77777777" w:rsidR="007C0CD0" w:rsidRDefault="007C0CD0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8" w:name="_Toc47081810"/>
            <w:bookmarkStart w:id="29" w:name="_Toc49275503"/>
          </w:p>
        </w:tc>
      </w:tr>
    </w:tbl>
    <w:p w14:paraId="45C61023" w14:textId="77777777" w:rsidR="009B5AA6" w:rsidRDefault="009B5AA6" w:rsidP="00942C15">
      <w:pPr>
        <w:pStyle w:val="BodyText"/>
        <w:spacing w:after="0"/>
      </w:pPr>
    </w:p>
    <w:p w14:paraId="5A65F19E" w14:textId="77777777" w:rsidR="00332383" w:rsidRPr="00C22AA3" w:rsidRDefault="00332383" w:rsidP="00942C15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r w:rsidRPr="00C22AA3">
        <w:rPr>
          <w:rFonts w:cs="Arial"/>
          <w:szCs w:val="20"/>
        </w:rPr>
        <w:t>Reflecting the strengthened PBRF</w:t>
      </w:r>
      <w:bookmarkEnd w:id="28"/>
      <w:bookmarkEnd w:id="29"/>
      <w:r w:rsidR="009A7FB0">
        <w:rPr>
          <w:rFonts w:cs="Arial"/>
          <w:szCs w:val="20"/>
        </w:rPr>
        <w:br/>
      </w:r>
    </w:p>
    <w:p w14:paraId="13F3319D" w14:textId="77777777" w:rsidR="00332383" w:rsidRPr="00C22AA3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Renaming the PBRF in English and/or te </w:t>
      </w:r>
      <w:proofErr w:type="spellStart"/>
      <w:r w:rsidRPr="00C22AA3">
        <w:rPr>
          <w:rFonts w:ascii="Arial" w:hAnsi="Arial" w:cs="Arial"/>
          <w:sz w:val="20"/>
          <w:szCs w:val="20"/>
        </w:rPr>
        <w:t>reo</w:t>
      </w:r>
      <w:proofErr w:type="spellEnd"/>
      <w:r w:rsidRPr="00C22AA3">
        <w:rPr>
          <w:rFonts w:ascii="Arial" w:hAnsi="Arial" w:cs="Arial"/>
          <w:sz w:val="20"/>
          <w:szCs w:val="20"/>
        </w:rPr>
        <w:t xml:space="preserve"> Māori;</w:t>
      </w:r>
    </w:p>
    <w:p w14:paraId="73C30722" w14:textId="77777777" w:rsidR="0066436F" w:rsidRPr="00C22AA3" w:rsidRDefault="0066436F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1BF59EE9" w14:textId="77777777" w:rsidR="00E66B5F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Modifying the guiding principles to better reflect </w:t>
      </w:r>
      <w:r w:rsidRPr="00C22AA3">
        <w:rPr>
          <w:rFonts w:ascii="Arial" w:hAnsi="Arial" w:cs="Arial"/>
          <w:i/>
          <w:sz w:val="20"/>
          <w:szCs w:val="20"/>
        </w:rPr>
        <w:t xml:space="preserve">partnership, inclusiveness, and equity </w:t>
      </w:r>
      <w:r w:rsidRPr="00C22AA3">
        <w:rPr>
          <w:rFonts w:ascii="Arial" w:hAnsi="Arial" w:cs="Arial"/>
          <w:sz w:val="20"/>
          <w:szCs w:val="20"/>
        </w:rPr>
        <w:t>(see</w:t>
      </w:r>
      <w:r w:rsidR="00E66B5F">
        <w:rPr>
          <w:rFonts w:ascii="Arial" w:hAnsi="Arial" w:cs="Arial"/>
          <w:sz w:val="20"/>
          <w:szCs w:val="20"/>
        </w:rPr>
        <w:t xml:space="preserve"> below).</w:t>
      </w:r>
    </w:p>
    <w:p w14:paraId="38DE185A" w14:textId="77777777" w:rsidR="00E66B5F" w:rsidRDefault="00E66B5F" w:rsidP="00942C1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B590804" w14:textId="77777777" w:rsidR="0066436F" w:rsidRPr="002F2BBB" w:rsidRDefault="00E66B5F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61955AB1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Do you support the proposal to rename the PBRF?</w:t>
      </w:r>
    </w:p>
    <w:p w14:paraId="39C51EF4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Do you have recommendations for a new name?</w:t>
      </w:r>
    </w:p>
    <w:p w14:paraId="5A414AA2" w14:textId="77777777" w:rsidR="00E66B5F" w:rsidRPr="00C22AA3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Do you support modifying the guiding principles as proposed?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44D848FA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1A72" w14:textId="77777777" w:rsidR="007C0CD0" w:rsidRDefault="007C0CD0" w:rsidP="00942C15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0" w:name="_Toc47081811"/>
            <w:bookmarkStart w:id="31" w:name="_Toc49275504"/>
          </w:p>
        </w:tc>
      </w:tr>
    </w:tbl>
    <w:p w14:paraId="38747630" w14:textId="77777777" w:rsidR="007C0CD0" w:rsidRDefault="007C0CD0" w:rsidP="00942C15">
      <w:pPr>
        <w:pStyle w:val="BodyText"/>
        <w:spacing w:after="0"/>
      </w:pPr>
    </w:p>
    <w:p w14:paraId="66E6E155" w14:textId="77777777" w:rsidR="00332383" w:rsidRPr="00C22AA3" w:rsidRDefault="00332383" w:rsidP="00942C15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r w:rsidRPr="00C22AA3">
        <w:rPr>
          <w:rFonts w:cs="Arial"/>
          <w:szCs w:val="20"/>
        </w:rPr>
        <w:lastRenderedPageBreak/>
        <w:t>Rebalancing the components of the PBRF</w:t>
      </w:r>
      <w:bookmarkEnd w:id="30"/>
      <w:bookmarkEnd w:id="31"/>
      <w:r w:rsidR="009A7FB0">
        <w:rPr>
          <w:rFonts w:cs="Arial"/>
          <w:szCs w:val="20"/>
        </w:rPr>
        <w:br/>
      </w:r>
    </w:p>
    <w:p w14:paraId="425F682C" w14:textId="77777777" w:rsidR="00332383" w:rsidRPr="00C22AA3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Discontinuing the ERI component via:</w:t>
      </w:r>
    </w:p>
    <w:p w14:paraId="612C4835" w14:textId="77777777" w:rsidR="00332383" w:rsidRPr="00C22AA3" w:rsidRDefault="00332383" w:rsidP="00942C15">
      <w:pPr>
        <w:pStyle w:val="MoEBulletedListLevel1"/>
        <w:spacing w:line="240" w:lineRule="auto"/>
        <w:rPr>
          <w:rFonts w:cs="Arial"/>
        </w:rPr>
      </w:pPr>
      <w:r w:rsidRPr="00C22AA3">
        <w:rPr>
          <w:rFonts w:cs="Arial"/>
        </w:rPr>
        <w:t>a full discontinuation starting after the next QE, or</w:t>
      </w:r>
    </w:p>
    <w:p w14:paraId="7ADB0C7E" w14:textId="77777777" w:rsidR="00332383" w:rsidRPr="00C22AA3" w:rsidRDefault="00332383" w:rsidP="00942C15">
      <w:pPr>
        <w:pStyle w:val="MoEBulletedListLevel1"/>
        <w:spacing w:line="240" w:lineRule="auto"/>
        <w:rPr>
          <w:rFonts w:cs="Arial"/>
          <w:szCs w:val="20"/>
        </w:rPr>
      </w:pPr>
      <w:r w:rsidRPr="00C22AA3">
        <w:rPr>
          <w:rFonts w:cs="Arial"/>
        </w:rPr>
        <w:t>a phased</w:t>
      </w:r>
      <w:r w:rsidRPr="00C22AA3">
        <w:rPr>
          <w:rFonts w:cs="Arial"/>
          <w:szCs w:val="20"/>
        </w:rPr>
        <w:t xml:space="preserve"> discontinuation starting after the next QE over four years. </w:t>
      </w:r>
    </w:p>
    <w:p w14:paraId="407B258D" w14:textId="77777777" w:rsidR="00332383" w:rsidRPr="00C22AA3" w:rsidRDefault="00332383" w:rsidP="00942C15">
      <w:pPr>
        <w:pStyle w:val="ListParagraph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F5C5BBA" w14:textId="77777777" w:rsidR="00332383" w:rsidRPr="00C22AA3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Subject to the above, redistribution of ERI funding into:  </w:t>
      </w:r>
    </w:p>
    <w:p w14:paraId="2537CFAE" w14:textId="77777777" w:rsidR="00332383" w:rsidRPr="00C22AA3" w:rsidRDefault="00332383" w:rsidP="00942C15">
      <w:pPr>
        <w:pStyle w:val="MoEBulletedListLevel1"/>
        <w:spacing w:line="240" w:lineRule="auto"/>
        <w:rPr>
          <w:rFonts w:cs="Arial"/>
        </w:rPr>
      </w:pPr>
      <w:r w:rsidRPr="00C22AA3">
        <w:rPr>
          <w:rFonts w:cs="Arial"/>
        </w:rPr>
        <w:t xml:space="preserve">the QE component, or </w:t>
      </w:r>
    </w:p>
    <w:p w14:paraId="69270945" w14:textId="77777777" w:rsidR="00332383" w:rsidRPr="00C22AA3" w:rsidRDefault="00332383" w:rsidP="00942C15">
      <w:pPr>
        <w:pStyle w:val="MoEBulletedListLevel1"/>
        <w:spacing w:line="240" w:lineRule="auto"/>
        <w:rPr>
          <w:rFonts w:cs="Arial"/>
        </w:rPr>
      </w:pPr>
      <w:r w:rsidRPr="00C22AA3">
        <w:rPr>
          <w:rFonts w:cs="Arial"/>
        </w:rPr>
        <w:t>a new component to replace the ERI, or</w:t>
      </w:r>
    </w:p>
    <w:p w14:paraId="199B8BB6" w14:textId="77777777" w:rsidR="00E66B5F" w:rsidRPr="009A7FB0" w:rsidRDefault="00332383" w:rsidP="00942C15">
      <w:pPr>
        <w:pStyle w:val="MoEBulletedListLevel1"/>
        <w:spacing w:line="240" w:lineRule="auto"/>
        <w:rPr>
          <w:rFonts w:cs="Arial"/>
          <w:szCs w:val="20"/>
        </w:rPr>
      </w:pPr>
      <w:r w:rsidRPr="00C22AA3">
        <w:rPr>
          <w:rFonts w:cs="Arial"/>
        </w:rPr>
        <w:t>a</w:t>
      </w:r>
      <w:r w:rsidRPr="00C22AA3">
        <w:rPr>
          <w:rFonts w:cs="Arial"/>
          <w:szCs w:val="20"/>
        </w:rPr>
        <w:t xml:space="preserve"> mixture of the QE component and a new component.</w:t>
      </w:r>
      <w:r w:rsidR="009A7FB0">
        <w:rPr>
          <w:rFonts w:cs="Arial"/>
          <w:szCs w:val="20"/>
        </w:rPr>
        <w:br/>
      </w:r>
    </w:p>
    <w:p w14:paraId="7F4B9151" w14:textId="77777777" w:rsidR="00955B08" w:rsidRPr="002F2BBB" w:rsidRDefault="00E66B5F" w:rsidP="00942C15">
      <w:pPr>
        <w:pStyle w:val="ListParagraph"/>
        <w:spacing w:after="0" w:line="240" w:lineRule="auto"/>
        <w:ind w:left="709"/>
        <w:jc w:val="left"/>
        <w:rPr>
          <w:rFonts w:cs="Arial"/>
          <w:i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1112C637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 xml:space="preserve">Do you support the proposed discontinuation of the ERI? </w:t>
      </w:r>
    </w:p>
    <w:p w14:paraId="184AF424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If ERI is discontinued, do you support a full or phased discontinuation after the next QE?</w:t>
      </w:r>
    </w:p>
    <w:p w14:paraId="0E84B97C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If ERI is discontinued, how do you think redistribution of ERI funding should be implemented?</w:t>
      </w:r>
    </w:p>
    <w:p w14:paraId="14CC8A90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Do you have recommendations for a new component to replace ERI?</w:t>
      </w:r>
    </w:p>
    <w:p w14:paraId="05EC78DA" w14:textId="77777777" w:rsidR="00E66B5F" w:rsidRPr="00E66B5F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E66B5F" w:rsidRPr="00E66B5F">
        <w:rPr>
          <w:rFonts w:ascii="Arial" w:hAnsi="Arial" w:cs="Arial"/>
          <w:sz w:val="20"/>
          <w:szCs w:val="20"/>
        </w:rPr>
        <w:t xml:space="preserve"> bene</w:t>
      </w:r>
      <w:r>
        <w:rPr>
          <w:rFonts w:ascii="Arial" w:hAnsi="Arial" w:cs="Arial"/>
          <w:sz w:val="20"/>
          <w:szCs w:val="20"/>
        </w:rPr>
        <w:t>fits and disadvantages could this proposal</w:t>
      </w:r>
      <w:r w:rsidR="00E66B5F" w:rsidRPr="00E66B5F">
        <w:rPr>
          <w:rFonts w:ascii="Arial" w:hAnsi="Arial" w:cs="Arial"/>
          <w:sz w:val="20"/>
          <w:szCs w:val="20"/>
        </w:rPr>
        <w:t xml:space="preserve"> have for </w:t>
      </w:r>
      <w:r>
        <w:rPr>
          <w:rFonts w:ascii="Arial" w:hAnsi="Arial" w:cs="Arial"/>
          <w:sz w:val="20"/>
          <w:szCs w:val="20"/>
        </w:rPr>
        <w:t>researchers, and for TEOs?</w:t>
      </w:r>
    </w:p>
    <w:p w14:paraId="5BE5020F" w14:textId="77777777" w:rsidR="00E66B5F" w:rsidRPr="00E66B5F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E66B5F" w:rsidRPr="00E66B5F">
        <w:rPr>
          <w:rFonts w:ascii="Arial" w:hAnsi="Arial" w:cs="Arial"/>
          <w:sz w:val="20"/>
          <w:szCs w:val="20"/>
        </w:rPr>
        <w:t xml:space="preserve"> would your department/organisation likely respond to this proposed change?</w:t>
      </w:r>
    </w:p>
    <w:p w14:paraId="7B8CE27F" w14:textId="77777777" w:rsidR="00E66B5F" w:rsidRPr="00E66B5F" w:rsidRDefault="00E66B5F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6B5F">
        <w:rPr>
          <w:rFonts w:ascii="Arial" w:hAnsi="Arial" w:cs="Arial"/>
          <w:sz w:val="20"/>
          <w:szCs w:val="20"/>
        </w:rPr>
        <w:t>Are there additional considerati</w:t>
      </w:r>
      <w:r w:rsidR="009A7FB0">
        <w:rPr>
          <w:rFonts w:ascii="Arial" w:hAnsi="Arial" w:cs="Arial"/>
          <w:sz w:val="20"/>
          <w:szCs w:val="20"/>
        </w:rPr>
        <w:t>ons for this</w:t>
      </w:r>
      <w:r w:rsidRPr="00E66B5F">
        <w:rPr>
          <w:rFonts w:ascii="Arial" w:hAnsi="Arial" w:cs="Arial"/>
          <w:sz w:val="20"/>
          <w:szCs w:val="20"/>
        </w:rPr>
        <w:t xml:space="preserve"> proposal, including in the context of COVID-19?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57700BDB" w14:textId="77777777" w:rsidTr="009A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154D" w14:textId="77777777" w:rsidR="007C0CD0" w:rsidRDefault="007C0CD0" w:rsidP="00942C15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2" w:name="_Toc47081812"/>
          </w:p>
        </w:tc>
      </w:tr>
    </w:tbl>
    <w:p w14:paraId="0083A515" w14:textId="77777777" w:rsidR="00942C15" w:rsidRDefault="00942C15" w:rsidP="00942C15">
      <w:pPr>
        <w:pStyle w:val="BodyText"/>
        <w:spacing w:after="0"/>
        <w:contextualSpacing/>
      </w:pPr>
      <w:bookmarkStart w:id="33" w:name="_Toc49275505"/>
    </w:p>
    <w:p w14:paraId="5560C5E8" w14:textId="77777777" w:rsidR="00332383" w:rsidRPr="00C22AA3" w:rsidRDefault="00332383" w:rsidP="00942C15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r w:rsidRPr="00C22AA3">
        <w:rPr>
          <w:rFonts w:cs="Arial"/>
          <w:szCs w:val="20"/>
        </w:rPr>
        <w:t>Seeking</w:t>
      </w:r>
      <w:r w:rsidRPr="00C22AA3">
        <w:rPr>
          <w:rFonts w:cs="Arial"/>
          <w:noProof/>
          <w:szCs w:val="20"/>
          <w:lang w:eastAsia="en-NZ"/>
        </w:rPr>
        <w:t xml:space="preserve"> new </w:t>
      </w:r>
      <w:r w:rsidRPr="00C22AA3">
        <w:rPr>
          <w:rFonts w:cs="Arial"/>
          <w:szCs w:val="20"/>
        </w:rPr>
        <w:t>PBRF metrics</w:t>
      </w:r>
      <w:bookmarkEnd w:id="32"/>
      <w:bookmarkEnd w:id="33"/>
      <w:r w:rsidR="009A7FB0">
        <w:rPr>
          <w:rFonts w:cs="Arial"/>
          <w:szCs w:val="20"/>
        </w:rPr>
        <w:br/>
      </w:r>
    </w:p>
    <w:p w14:paraId="7C9546B8" w14:textId="77777777" w:rsidR="00955B08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Replacing the AQS metrics with a more appropriate measure of quality.</w:t>
      </w:r>
    </w:p>
    <w:p w14:paraId="05C70CAA" w14:textId="77777777" w:rsidR="009A7FB0" w:rsidRDefault="009A7FB0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403D8723" w14:textId="77777777" w:rsidR="009A7FB0" w:rsidRPr="002F2BBB" w:rsidRDefault="009A7FB0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13761818" w14:textId="77777777" w:rsidR="009A7FB0" w:rsidRPr="009A7FB0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believe the current AQS metrics effective measures of quality?</w:t>
      </w:r>
    </w:p>
    <w:p w14:paraId="3487040C" w14:textId="77777777" w:rsidR="009A7FB0" w:rsidRPr="009A7FB0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support the proposal to replace AQS metrics?</w:t>
      </w:r>
    </w:p>
    <w:p w14:paraId="3AB30418" w14:textId="77777777" w:rsidR="009A7FB0" w:rsidRPr="00F13E6B" w:rsidRDefault="009A7FB0" w:rsidP="00F13E6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have recommendations for how to represent the intensity and quality of research at different TEOs?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1EB4C02C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EE5B" w14:textId="77777777" w:rsidR="007C0CD0" w:rsidRDefault="007C0CD0" w:rsidP="00942C15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D2AC9" w14:textId="77777777" w:rsidR="00332383" w:rsidRPr="00942C15" w:rsidRDefault="009A7FB0" w:rsidP="00942C15">
      <w:pPr>
        <w:pStyle w:val="BodyText"/>
        <w:spacing w:after="0"/>
        <w:contextualSpacing/>
        <w:rPr>
          <w:rFonts w:eastAsiaTheme="majorEastAsia" w:cs="Arial"/>
          <w:b/>
          <w:color w:val="FF7E00"/>
        </w:rPr>
      </w:pPr>
      <w:bookmarkStart w:id="34" w:name="_Toc36381675"/>
      <w:bookmarkStart w:id="35" w:name="_Toc36382233"/>
      <w:bookmarkStart w:id="36" w:name="_Toc36382765"/>
      <w:bookmarkStart w:id="37" w:name="_Toc36383006"/>
      <w:bookmarkStart w:id="38" w:name="_Toc36383090"/>
      <w:bookmarkStart w:id="39" w:name="_Toc47081813"/>
      <w:bookmarkStart w:id="40" w:name="_Toc49275506"/>
      <w:bookmarkEnd w:id="34"/>
      <w:bookmarkEnd w:id="35"/>
      <w:bookmarkEnd w:id="36"/>
      <w:bookmarkEnd w:id="37"/>
      <w:bookmarkEnd w:id="38"/>
      <w:r w:rsidRPr="00942C15">
        <w:rPr>
          <w:rFonts w:eastAsiaTheme="majorEastAsia" w:cs="Arial"/>
          <w:b/>
          <w:color w:val="FF7E00"/>
        </w:rPr>
        <w:br/>
      </w:r>
      <w:r w:rsidR="00332383" w:rsidRPr="00942C15">
        <w:rPr>
          <w:rFonts w:eastAsiaTheme="majorEastAsia" w:cs="Arial"/>
          <w:b/>
          <w:color w:val="FF7E00"/>
        </w:rPr>
        <w:t>Researching and assessing the PBRF</w:t>
      </w:r>
      <w:bookmarkEnd w:id="39"/>
      <w:bookmarkEnd w:id="40"/>
      <w:r w:rsidR="00942C15">
        <w:rPr>
          <w:rFonts w:eastAsiaTheme="majorEastAsia" w:cs="Arial"/>
          <w:b/>
          <w:color w:val="FF7E00"/>
        </w:rPr>
        <w:br/>
      </w:r>
    </w:p>
    <w:p w14:paraId="209F14FC" w14:textId="77777777" w:rsidR="00955B08" w:rsidRDefault="00332383" w:rsidP="00942C15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Establishing an ongoing programme of research into, and evaluation of, PBRF processes and impact on the sector and research workforce. </w:t>
      </w:r>
    </w:p>
    <w:p w14:paraId="11F4CCF9" w14:textId="77777777" w:rsidR="009A7FB0" w:rsidRDefault="009A7FB0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776817E0" w14:textId="77777777" w:rsidR="009A7FB0" w:rsidRPr="002F2BBB" w:rsidRDefault="009A7FB0" w:rsidP="00942C15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6F68E365" w14:textId="77777777" w:rsidR="009A7FB0" w:rsidRPr="009A7FB0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support the proposed establishment of an ongoing programme of research into the PBRF and its impact on the tertiary sector and workforce?</w:t>
      </w:r>
    </w:p>
    <w:p w14:paraId="25E89B65" w14:textId="77777777" w:rsidR="009B5AA6" w:rsidRPr="009A7FB0" w:rsidRDefault="009A7FB0" w:rsidP="00942C1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What considerations need to be made in establishing this proposed programme of research?</w:t>
      </w:r>
      <w:bookmarkStart w:id="41" w:name="_Toc47081814"/>
      <w:bookmarkStart w:id="42" w:name="_Toc49275507"/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3B71985C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3559" w14:textId="77777777" w:rsidR="007C0CD0" w:rsidRDefault="007C0CD0" w:rsidP="00942C15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ED306" w14:textId="77777777" w:rsidR="00332383" w:rsidRPr="00C22AA3" w:rsidRDefault="009B5AA6" w:rsidP="009A7FB0">
      <w:pPr>
        <w:pStyle w:val="MoEHeading2"/>
        <w:spacing w:before="0" w:after="0"/>
        <w:contextualSpacing/>
        <w:rPr>
          <w:rFonts w:cs="Arial"/>
        </w:rPr>
      </w:pPr>
      <w:r w:rsidRPr="009B5AA6">
        <w:rPr>
          <w:rFonts w:cs="Arial"/>
        </w:rPr>
        <w:lastRenderedPageBreak/>
        <w:t>O</w:t>
      </w:r>
      <w:r w:rsidR="00332383" w:rsidRPr="00C22AA3">
        <w:rPr>
          <w:rFonts w:cs="Arial"/>
        </w:rPr>
        <w:t>perational changes to the PBRF</w:t>
      </w:r>
      <w:bookmarkEnd w:id="41"/>
      <w:bookmarkEnd w:id="42"/>
      <w:r w:rsidR="00332383" w:rsidRPr="00C22AA3">
        <w:rPr>
          <w:rFonts w:cs="Arial"/>
        </w:rPr>
        <w:t xml:space="preserve"> </w:t>
      </w:r>
      <w:r w:rsidR="00D73543">
        <w:rPr>
          <w:rFonts w:cs="Arial"/>
        </w:rPr>
        <w:br/>
      </w:r>
    </w:p>
    <w:p w14:paraId="5822393D" w14:textId="77777777" w:rsidR="00332383" w:rsidRPr="00C22AA3" w:rsidRDefault="00332383" w:rsidP="009A7FB0">
      <w:pPr>
        <w:pStyle w:val="MoEHeading3"/>
        <w:spacing w:before="0" w:after="0" w:line="240" w:lineRule="auto"/>
        <w:contextualSpacing/>
        <w:rPr>
          <w:rFonts w:cs="Arial"/>
          <w:szCs w:val="20"/>
        </w:rPr>
      </w:pPr>
      <w:bookmarkStart w:id="43" w:name="_Toc43815253"/>
      <w:bookmarkStart w:id="44" w:name="_Toc43815254"/>
      <w:bookmarkStart w:id="45" w:name="_Toc43815255"/>
      <w:bookmarkStart w:id="46" w:name="_Toc43815256"/>
      <w:bookmarkStart w:id="47" w:name="_Toc43815257"/>
      <w:bookmarkStart w:id="48" w:name="_Toc43815258"/>
      <w:bookmarkStart w:id="49" w:name="_Toc47081815"/>
      <w:bookmarkStart w:id="50" w:name="_Toc49275508"/>
      <w:bookmarkEnd w:id="43"/>
      <w:bookmarkEnd w:id="44"/>
      <w:bookmarkEnd w:id="45"/>
      <w:bookmarkEnd w:id="46"/>
      <w:bookmarkEnd w:id="47"/>
      <w:bookmarkEnd w:id="48"/>
      <w:r w:rsidRPr="00C22AA3">
        <w:rPr>
          <w:rFonts w:cs="Arial"/>
          <w:szCs w:val="20"/>
        </w:rPr>
        <w:t>Building on the successes of the PBRF</w:t>
      </w:r>
      <w:bookmarkEnd w:id="49"/>
      <w:bookmarkEnd w:id="50"/>
      <w:r w:rsidRPr="00C22AA3">
        <w:rPr>
          <w:rFonts w:cs="Arial"/>
          <w:szCs w:val="20"/>
        </w:rPr>
        <w:t xml:space="preserve"> </w:t>
      </w:r>
      <w:r w:rsidR="00D73543">
        <w:rPr>
          <w:rFonts w:cs="Arial"/>
          <w:szCs w:val="20"/>
        </w:rPr>
        <w:br/>
      </w:r>
    </w:p>
    <w:p w14:paraId="33FAAB82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Ensuring the peer-review panels reflect the epistemological and demographic diversity of the research workforce, including ensuring gender parity, significant representation of Māori and Pacific researchers and a broad representation of researchers and other experts across career stages, TEOs and other research institutions.</w:t>
      </w:r>
      <w:r w:rsidRPr="00C22AA3">
        <w:rPr>
          <w:rFonts w:ascii="Arial" w:hAnsi="Arial" w:cs="Arial"/>
          <w:sz w:val="20"/>
          <w:szCs w:val="20"/>
        </w:rPr>
        <w:br/>
      </w:r>
    </w:p>
    <w:p w14:paraId="3292659B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Ensuring the peer-review panels are well supported with a programme of training to strengthen their capacity to take into account the diversity of research excellence and apply ‘merit relative to opportunity’ approaches. </w:t>
      </w:r>
    </w:p>
    <w:p w14:paraId="3550BACF" w14:textId="77777777" w:rsidR="00332383" w:rsidRPr="00C22AA3" w:rsidRDefault="00332383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751B6652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 xml:space="preserve">Improving understanding of the PBRF and addressing myths about the QE in </w:t>
      </w:r>
      <w:r w:rsidR="008E49C9" w:rsidRPr="00C22AA3">
        <w:rPr>
          <w:rFonts w:ascii="Arial" w:hAnsi="Arial" w:cs="Arial"/>
          <w:sz w:val="20"/>
          <w:szCs w:val="20"/>
        </w:rPr>
        <w:t xml:space="preserve">its </w:t>
      </w:r>
      <w:r w:rsidRPr="00C22AA3">
        <w:rPr>
          <w:rFonts w:ascii="Arial" w:hAnsi="Arial" w:cs="Arial"/>
          <w:sz w:val="20"/>
          <w:szCs w:val="20"/>
        </w:rPr>
        <w:t xml:space="preserve">communications. </w:t>
      </w:r>
      <w:r w:rsidRPr="00C22AA3">
        <w:rPr>
          <w:rFonts w:ascii="Arial" w:hAnsi="Arial" w:cs="Arial"/>
          <w:sz w:val="20"/>
          <w:szCs w:val="20"/>
        </w:rPr>
        <w:br/>
      </w:r>
    </w:p>
    <w:p w14:paraId="373150CD" w14:textId="77777777" w:rsidR="00332383" w:rsidRPr="00C22AA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Adopting the Open Researcher and Contributor ID (ORCID) as the unique identifier for PBRF-eligible staff.</w:t>
      </w:r>
      <w:r w:rsidR="00033C55" w:rsidRPr="00C22AA3">
        <w:rPr>
          <w:rFonts w:ascii="Arial" w:hAnsi="Arial" w:cs="Arial"/>
          <w:sz w:val="20"/>
          <w:szCs w:val="20"/>
        </w:rPr>
        <w:br/>
      </w:r>
    </w:p>
    <w:p w14:paraId="79F5896F" w14:textId="77777777" w:rsidR="00332383" w:rsidRDefault="00332383" w:rsidP="009A7FB0">
      <w:pPr>
        <w:pStyle w:val="ListParagraph"/>
        <w:numPr>
          <w:ilvl w:val="0"/>
          <w:numId w:val="8"/>
        </w:numPr>
        <w:spacing w:after="0" w:line="240" w:lineRule="auto"/>
        <w:ind w:left="709" w:hanging="706"/>
        <w:jc w:val="left"/>
        <w:rPr>
          <w:rFonts w:ascii="Arial" w:hAnsi="Arial" w:cs="Arial"/>
          <w:sz w:val="20"/>
          <w:szCs w:val="20"/>
        </w:rPr>
      </w:pPr>
      <w:r w:rsidRPr="00C22AA3">
        <w:rPr>
          <w:rFonts w:ascii="Arial" w:hAnsi="Arial" w:cs="Arial"/>
          <w:sz w:val="20"/>
          <w:szCs w:val="20"/>
        </w:rPr>
        <w:t>Consulting the Sector Reference Group for the next QE on the implementation of all proposals for changes that are approved.</w:t>
      </w:r>
    </w:p>
    <w:p w14:paraId="5BA653AB" w14:textId="77777777" w:rsidR="009A7FB0" w:rsidRDefault="009A7FB0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16E4BA24" w14:textId="77777777" w:rsidR="009A7FB0" w:rsidRPr="002F2BBB" w:rsidRDefault="009A7FB0" w:rsidP="009A7FB0">
      <w:pPr>
        <w:pStyle w:val="ListParagraph"/>
        <w:spacing w:after="0" w:line="240" w:lineRule="auto"/>
        <w:ind w:left="709"/>
        <w:jc w:val="left"/>
        <w:rPr>
          <w:rFonts w:ascii="Arial" w:hAnsi="Arial" w:cs="Arial"/>
          <w:i/>
          <w:sz w:val="20"/>
          <w:szCs w:val="20"/>
        </w:rPr>
      </w:pPr>
      <w:r w:rsidRPr="002F2BBB">
        <w:rPr>
          <w:rFonts w:ascii="Arial" w:hAnsi="Arial" w:cs="Arial"/>
          <w:i/>
          <w:sz w:val="20"/>
          <w:szCs w:val="20"/>
        </w:rPr>
        <w:t>Suggested discussion prompts:</w:t>
      </w:r>
    </w:p>
    <w:p w14:paraId="5FC5A395" w14:textId="77777777" w:rsidR="009A7FB0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support the proposal to build on the success of the QE peer-review panels by ensuring diversity of researchers is well represented?</w:t>
      </w:r>
    </w:p>
    <w:p w14:paraId="3C218749" w14:textId="77777777" w:rsidR="009A7FB0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support the proposed programme of training for the QE peer-review panels?</w:t>
      </w:r>
    </w:p>
    <w:p w14:paraId="6D4FD488" w14:textId="77777777" w:rsidR="009A7FB0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Are there other considerations that should</w:t>
      </w:r>
      <w:r w:rsidR="00D73543">
        <w:rPr>
          <w:rFonts w:ascii="Arial" w:hAnsi="Arial" w:cs="Arial"/>
          <w:sz w:val="20"/>
          <w:szCs w:val="20"/>
        </w:rPr>
        <w:t xml:space="preserve"> be included in these proposals?</w:t>
      </w:r>
    </w:p>
    <w:p w14:paraId="2A995D85" w14:textId="77777777" w:rsidR="009A7FB0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 xml:space="preserve">Do you have recommendations for aspects of the PBRF </w:t>
      </w:r>
      <w:r w:rsidR="00D73543">
        <w:rPr>
          <w:rFonts w:ascii="Arial" w:hAnsi="Arial" w:cs="Arial"/>
          <w:sz w:val="20"/>
          <w:szCs w:val="20"/>
        </w:rPr>
        <w:t xml:space="preserve">or </w:t>
      </w:r>
      <w:r w:rsidR="00D73543" w:rsidRPr="009A7FB0">
        <w:rPr>
          <w:rFonts w:ascii="Arial" w:hAnsi="Arial" w:cs="Arial"/>
          <w:sz w:val="20"/>
          <w:szCs w:val="20"/>
        </w:rPr>
        <w:t xml:space="preserve">myths about the PBRF </w:t>
      </w:r>
      <w:r w:rsidRPr="009A7FB0">
        <w:rPr>
          <w:rFonts w:ascii="Arial" w:hAnsi="Arial" w:cs="Arial"/>
          <w:sz w:val="20"/>
          <w:szCs w:val="20"/>
        </w:rPr>
        <w:t>that should be addressed in communications?</w:t>
      </w:r>
    </w:p>
    <w:p w14:paraId="58A57162" w14:textId="77777777" w:rsidR="009A7FB0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Do you support examining the potential in adopting the ORCID in the PBRF?</w:t>
      </w:r>
      <w:r w:rsidRPr="009A7FB0">
        <w:rPr>
          <w:rFonts w:ascii="Arial" w:hAnsi="Arial" w:cs="Arial"/>
          <w:sz w:val="20"/>
          <w:szCs w:val="20"/>
        </w:rPr>
        <w:tab/>
      </w:r>
    </w:p>
    <w:p w14:paraId="5DFBB409" w14:textId="77777777" w:rsidR="00033C55" w:rsidRPr="009A7FB0" w:rsidRDefault="009A7FB0" w:rsidP="009A7FB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7FB0">
        <w:rPr>
          <w:rFonts w:ascii="Arial" w:hAnsi="Arial" w:cs="Arial"/>
          <w:sz w:val="20"/>
          <w:szCs w:val="20"/>
        </w:rPr>
        <w:t>What benefits and disadvantages could the proposal to adopt the ORCID in the PBRF have?</w:t>
      </w:r>
    </w:p>
    <w:tbl>
      <w:tblPr>
        <w:tblStyle w:val="TableGrid"/>
        <w:tblpPr w:leftFromText="180" w:rightFromText="180" w:vertAnchor="text" w:horzAnchor="margin" w:tblpY="224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C0CD0" w14:paraId="78637B68" w14:textId="77777777" w:rsidTr="007C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BA4" w14:textId="77777777" w:rsidR="007C0CD0" w:rsidRDefault="007C0CD0" w:rsidP="009A7FB0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233E7" w14:textId="77777777" w:rsidR="00955B08" w:rsidRPr="00C22AA3" w:rsidRDefault="00955B08" w:rsidP="009A7FB0">
      <w:pPr>
        <w:pStyle w:val="ListParagraph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sectPr w:rsidR="00955B08" w:rsidRPr="00C22AA3" w:rsidSect="00721BC0">
      <w:footerReference w:type="default" r:id="rId9"/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F6C9" w14:textId="77777777" w:rsidR="00580204" w:rsidRDefault="00580204" w:rsidP="00882F80">
      <w:pPr>
        <w:spacing w:after="0" w:line="240" w:lineRule="auto"/>
      </w:pPr>
      <w:r>
        <w:separator/>
      </w:r>
    </w:p>
  </w:endnote>
  <w:endnote w:type="continuationSeparator" w:id="0">
    <w:p w14:paraId="574A0680" w14:textId="77777777" w:rsidR="00580204" w:rsidRDefault="00580204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ED6F" w14:textId="77777777" w:rsidR="00580204" w:rsidRPr="00F56983" w:rsidRDefault="00580204" w:rsidP="00F56983">
    <w:pPr>
      <w:pStyle w:val="MoECoverPageHeading"/>
      <w:spacing w:after="0" w:line="240" w:lineRule="auto"/>
      <w:ind w:left="0"/>
      <w:contextualSpacing/>
      <w:rPr>
        <w:sz w:val="16"/>
        <w:szCs w:val="16"/>
      </w:rPr>
    </w:pPr>
    <w:r w:rsidRPr="00F56983">
      <w:rPr>
        <w:sz w:val="16"/>
        <w:szCs w:val="16"/>
      </w:rPr>
      <w:t xml:space="preserve">Performance-Based Research Fund Review </w:t>
    </w:r>
    <w:r w:rsidR="00721BC0">
      <w:rPr>
        <w:sz w:val="16"/>
        <w:szCs w:val="16"/>
      </w:rPr>
      <w:t>–</w:t>
    </w:r>
    <w:r w:rsidRPr="00F56983">
      <w:rPr>
        <w:sz w:val="16"/>
        <w:szCs w:val="16"/>
      </w:rPr>
      <w:t xml:space="preserve"> </w:t>
    </w:r>
    <w:r w:rsidR="00721BC0">
      <w:rPr>
        <w:sz w:val="16"/>
        <w:szCs w:val="16"/>
      </w:rPr>
      <w:t>Written Submission Template</w:t>
    </w:r>
  </w:p>
  <w:sdt>
    <w:sdtPr>
      <w:id w:val="-108838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CAB1E" w14:textId="77777777" w:rsidR="00580204" w:rsidRDefault="00580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B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73543">
          <w:rPr>
            <w:noProof/>
          </w:rPr>
          <w:t>6</w:t>
        </w:r>
      </w:p>
    </w:sdtContent>
  </w:sdt>
  <w:p w14:paraId="01ED780B" w14:textId="77777777" w:rsidR="00580204" w:rsidRDefault="00580204" w:rsidP="00954C20">
    <w:pPr>
      <w:pStyle w:val="MoEFooter"/>
      <w:tabs>
        <w:tab w:val="clear" w:pos="4000"/>
        <w:tab w:val="center" w:pos="48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E6C7" w14:textId="77777777" w:rsidR="00580204" w:rsidRDefault="00580204" w:rsidP="00882F80">
      <w:pPr>
        <w:spacing w:after="0" w:line="240" w:lineRule="auto"/>
      </w:pPr>
      <w:r>
        <w:separator/>
      </w:r>
    </w:p>
  </w:footnote>
  <w:footnote w:type="continuationSeparator" w:id="0">
    <w:p w14:paraId="4FA07055" w14:textId="77777777" w:rsidR="00580204" w:rsidRDefault="00580204" w:rsidP="00882F80">
      <w:pPr>
        <w:spacing w:after="0" w:line="240" w:lineRule="auto"/>
      </w:pPr>
      <w:r>
        <w:continuationSeparator/>
      </w:r>
    </w:p>
  </w:footnote>
  <w:footnote w:id="1">
    <w:p w14:paraId="7F54921A" w14:textId="77777777" w:rsidR="00580204" w:rsidRPr="002F0F74" w:rsidRDefault="00580204" w:rsidP="00EC116E">
      <w:pPr>
        <w:pStyle w:val="FootnoteText"/>
        <w:rPr>
          <w:rFonts w:cstheme="minorHAnsi"/>
        </w:rPr>
      </w:pPr>
      <w:r w:rsidRPr="002F0F74">
        <w:rPr>
          <w:rStyle w:val="FootnoteReference"/>
          <w:rFonts w:cstheme="minorHAnsi"/>
        </w:rPr>
        <w:footnoteRef/>
      </w:r>
      <w:r w:rsidRPr="002F0F74">
        <w:rPr>
          <w:rFonts w:cstheme="minorHAnsi"/>
        </w:rPr>
        <w:t xml:space="preserve"> </w:t>
      </w:r>
      <w:hyperlink r:id="rId1" w:history="1">
        <w:r w:rsidRPr="00B63CA2">
          <w:rPr>
            <w:rStyle w:val="Hyperlink"/>
            <w:rFonts w:cstheme="minorHAnsi"/>
            <w:sz w:val="18"/>
          </w:rPr>
          <w:t>Guidelines for tertiary education organisations participating in the 2018 Quality Evaluation</w:t>
        </w:r>
      </w:hyperlink>
      <w:r w:rsidRPr="00B63CA2">
        <w:rPr>
          <w:rFonts w:cstheme="minorHAnsi"/>
          <w:sz w:val="18"/>
        </w:rPr>
        <w:t xml:space="preserve"> – page 94</w:t>
      </w:r>
    </w:p>
  </w:footnote>
  <w:footnote w:id="2">
    <w:p w14:paraId="6A75F0D8" w14:textId="77777777" w:rsidR="00580204" w:rsidRDefault="00580204" w:rsidP="00332383">
      <w:pPr>
        <w:pStyle w:val="FootnoteText"/>
        <w:contextualSpacing/>
      </w:pPr>
      <w:r w:rsidRPr="002F0F74">
        <w:rPr>
          <w:rStyle w:val="FootnoteReference"/>
          <w:rFonts w:cstheme="minorHAnsi"/>
        </w:rPr>
        <w:footnoteRef/>
      </w:r>
      <w:r w:rsidRPr="002F0F74">
        <w:rPr>
          <w:rFonts w:cstheme="minorHAnsi"/>
        </w:rPr>
        <w:t xml:space="preserve"> </w:t>
      </w:r>
      <w:r w:rsidRPr="00B63CA2">
        <w:rPr>
          <w:rFonts w:cstheme="minorHAnsi"/>
          <w:sz w:val="18"/>
        </w:rPr>
        <w:t>How this would work in practice would need to be determined following this consultation and in collaboration with the sector. It would likely include ensuring a researcher’s work is assessed relative to their experience, career stage and opportunities available to them.</w:t>
      </w:r>
    </w:p>
  </w:footnote>
  <w:footnote w:id="3">
    <w:p w14:paraId="49A582FB" w14:textId="77777777" w:rsidR="00580204" w:rsidRPr="002F0F74" w:rsidRDefault="00580204" w:rsidP="00EC116E">
      <w:pPr>
        <w:pStyle w:val="FootnoteText"/>
        <w:rPr>
          <w:rFonts w:cstheme="minorHAnsi"/>
        </w:rPr>
      </w:pPr>
      <w:r w:rsidRPr="002F0F74">
        <w:rPr>
          <w:rStyle w:val="FootnoteReference"/>
          <w:rFonts w:cstheme="minorHAnsi"/>
        </w:rPr>
        <w:footnoteRef/>
      </w:r>
      <w:r w:rsidRPr="002F0F74">
        <w:rPr>
          <w:rFonts w:cstheme="minorHAnsi"/>
        </w:rPr>
        <w:t xml:space="preserve"> </w:t>
      </w:r>
      <w:hyperlink r:id="rId2" w:history="1">
        <w:r w:rsidRPr="00B63CA2">
          <w:rPr>
            <w:rStyle w:val="Hyperlink"/>
            <w:rFonts w:cstheme="minorHAnsi"/>
            <w:sz w:val="18"/>
          </w:rPr>
          <w:t>Guidelines for tertiary education organisations participating in the 2018 Quality Evaluation</w:t>
        </w:r>
      </w:hyperlink>
      <w:r w:rsidRPr="00B63CA2">
        <w:rPr>
          <w:rFonts w:cstheme="minorHAnsi"/>
          <w:sz w:val="18"/>
        </w:rPr>
        <w:t xml:space="preserve"> – page 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E76B7"/>
    <w:multiLevelType w:val="hybridMultilevel"/>
    <w:tmpl w:val="625E3954"/>
    <w:lvl w:ilvl="0" w:tplc="DBF62684">
      <w:start w:val="2"/>
      <w:numFmt w:val="lowerLetter"/>
      <w:lvlText w:val="%1."/>
      <w:lvlJc w:val="left"/>
      <w:pPr>
        <w:ind w:left="927" w:hanging="360"/>
      </w:pPr>
      <w:rPr>
        <w:rFonts w:cs="Arial" w:hint="default"/>
        <w:b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D485A"/>
    <w:multiLevelType w:val="hybridMultilevel"/>
    <w:tmpl w:val="47C25D2A"/>
    <w:lvl w:ilvl="0" w:tplc="969E9AD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73C02"/>
    <w:multiLevelType w:val="hybridMultilevel"/>
    <w:tmpl w:val="B9F6C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740"/>
    <w:multiLevelType w:val="hybridMultilevel"/>
    <w:tmpl w:val="7D885A6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5FC0"/>
    <w:multiLevelType w:val="hybridMultilevel"/>
    <w:tmpl w:val="1A34B246"/>
    <w:lvl w:ilvl="0" w:tplc="1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B47E49"/>
    <w:multiLevelType w:val="hybridMultilevel"/>
    <w:tmpl w:val="2B688EB6"/>
    <w:lvl w:ilvl="0" w:tplc="5AFCE04C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C058D"/>
    <w:multiLevelType w:val="hybridMultilevel"/>
    <w:tmpl w:val="2260270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657CE"/>
    <w:multiLevelType w:val="hybridMultilevel"/>
    <w:tmpl w:val="523070D4"/>
    <w:lvl w:ilvl="0" w:tplc="876A4E8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FC308396">
      <w:start w:val="1"/>
      <w:numFmt w:val="lowerLetter"/>
      <w:lvlText w:val="%2."/>
      <w:lvlJc w:val="left"/>
      <w:pPr>
        <w:ind w:left="991" w:hanging="360"/>
      </w:pPr>
      <w:rPr>
        <w:b/>
      </w:r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03F71D4"/>
    <w:multiLevelType w:val="hybridMultilevel"/>
    <w:tmpl w:val="454CF17A"/>
    <w:lvl w:ilvl="0" w:tplc="1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AC29C2"/>
    <w:multiLevelType w:val="hybridMultilevel"/>
    <w:tmpl w:val="87BA65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575A9"/>
    <w:multiLevelType w:val="hybridMultilevel"/>
    <w:tmpl w:val="584E0102"/>
    <w:lvl w:ilvl="0" w:tplc="1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52062A2"/>
    <w:multiLevelType w:val="hybridMultilevel"/>
    <w:tmpl w:val="48FAED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997"/>
    <w:multiLevelType w:val="hybridMultilevel"/>
    <w:tmpl w:val="D2BAA8F0"/>
    <w:lvl w:ilvl="0" w:tplc="74B48554">
      <w:start w:val="4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82D7E36"/>
    <w:multiLevelType w:val="hybridMultilevel"/>
    <w:tmpl w:val="7C3C95D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494C"/>
    <w:multiLevelType w:val="hybridMultilevel"/>
    <w:tmpl w:val="71C4F5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233A"/>
    <w:multiLevelType w:val="hybridMultilevel"/>
    <w:tmpl w:val="2F3A1E8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5AD7"/>
    <w:multiLevelType w:val="hybridMultilevel"/>
    <w:tmpl w:val="862021D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C6426"/>
    <w:multiLevelType w:val="hybridMultilevel"/>
    <w:tmpl w:val="B928AB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23"/>
  </w:num>
  <w:num w:numId="10">
    <w:abstractNumId w:val="17"/>
  </w:num>
  <w:num w:numId="11">
    <w:abstractNumId w:val="11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20"/>
  </w:num>
  <w:num w:numId="15">
    <w:abstractNumId w:val="21"/>
  </w:num>
  <w:num w:numId="16">
    <w:abstractNumId w:val="10"/>
  </w:num>
  <w:num w:numId="17">
    <w:abstractNumId w:val="18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5"/>
  </w:num>
  <w:num w:numId="24">
    <w:abstractNumId w:val="1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82"/>
    <w:rsid w:val="00006FB5"/>
    <w:rsid w:val="00015F09"/>
    <w:rsid w:val="00023A56"/>
    <w:rsid w:val="00033C55"/>
    <w:rsid w:val="00067FD3"/>
    <w:rsid w:val="000851BE"/>
    <w:rsid w:val="00085294"/>
    <w:rsid w:val="000A5A25"/>
    <w:rsid w:val="000B5835"/>
    <w:rsid w:val="000E42D9"/>
    <w:rsid w:val="00122069"/>
    <w:rsid w:val="001233B0"/>
    <w:rsid w:val="00147B59"/>
    <w:rsid w:val="001532C9"/>
    <w:rsid w:val="00161D45"/>
    <w:rsid w:val="00167E6A"/>
    <w:rsid w:val="00176DF3"/>
    <w:rsid w:val="0018285E"/>
    <w:rsid w:val="001A4189"/>
    <w:rsid w:val="001A594F"/>
    <w:rsid w:val="001B5BAE"/>
    <w:rsid w:val="001B60F4"/>
    <w:rsid w:val="001B6D50"/>
    <w:rsid w:val="001C70BD"/>
    <w:rsid w:val="001D6412"/>
    <w:rsid w:val="001E2086"/>
    <w:rsid w:val="001F0B28"/>
    <w:rsid w:val="001F7C54"/>
    <w:rsid w:val="00235100"/>
    <w:rsid w:val="002505B7"/>
    <w:rsid w:val="00253E83"/>
    <w:rsid w:val="002610AF"/>
    <w:rsid w:val="00261339"/>
    <w:rsid w:val="00261C4F"/>
    <w:rsid w:val="00266E5C"/>
    <w:rsid w:val="002877AD"/>
    <w:rsid w:val="00290644"/>
    <w:rsid w:val="002E0241"/>
    <w:rsid w:val="002F0F74"/>
    <w:rsid w:val="002F2BBB"/>
    <w:rsid w:val="00304B8B"/>
    <w:rsid w:val="00312199"/>
    <w:rsid w:val="00330021"/>
    <w:rsid w:val="00332383"/>
    <w:rsid w:val="003374FF"/>
    <w:rsid w:val="003619A8"/>
    <w:rsid w:val="00361F0F"/>
    <w:rsid w:val="0037496E"/>
    <w:rsid w:val="0037676D"/>
    <w:rsid w:val="00383727"/>
    <w:rsid w:val="003A11A0"/>
    <w:rsid w:val="003A4E3E"/>
    <w:rsid w:val="003C4D66"/>
    <w:rsid w:val="003C588E"/>
    <w:rsid w:val="003E581B"/>
    <w:rsid w:val="00430223"/>
    <w:rsid w:val="0043397A"/>
    <w:rsid w:val="00467383"/>
    <w:rsid w:val="00493E76"/>
    <w:rsid w:val="004B15C2"/>
    <w:rsid w:val="004E1F5D"/>
    <w:rsid w:val="0056516F"/>
    <w:rsid w:val="00580204"/>
    <w:rsid w:val="00582135"/>
    <w:rsid w:val="0059513B"/>
    <w:rsid w:val="00597A0A"/>
    <w:rsid w:val="005A36FF"/>
    <w:rsid w:val="005D28C9"/>
    <w:rsid w:val="005E5863"/>
    <w:rsid w:val="005F3255"/>
    <w:rsid w:val="00602EF4"/>
    <w:rsid w:val="0060306E"/>
    <w:rsid w:val="00610717"/>
    <w:rsid w:val="0063248E"/>
    <w:rsid w:val="006367EE"/>
    <w:rsid w:val="00637EF8"/>
    <w:rsid w:val="00653B83"/>
    <w:rsid w:val="00656F72"/>
    <w:rsid w:val="00657E72"/>
    <w:rsid w:val="0066436F"/>
    <w:rsid w:val="006A2FD8"/>
    <w:rsid w:val="006A58B0"/>
    <w:rsid w:val="006D614C"/>
    <w:rsid w:val="006E18D7"/>
    <w:rsid w:val="006F4F3E"/>
    <w:rsid w:val="00700362"/>
    <w:rsid w:val="00721BC0"/>
    <w:rsid w:val="007231F4"/>
    <w:rsid w:val="00751395"/>
    <w:rsid w:val="0076630E"/>
    <w:rsid w:val="007C0CD0"/>
    <w:rsid w:val="007C580F"/>
    <w:rsid w:val="007E5326"/>
    <w:rsid w:val="00812060"/>
    <w:rsid w:val="0086005E"/>
    <w:rsid w:val="00876DD8"/>
    <w:rsid w:val="00881E04"/>
    <w:rsid w:val="00882F80"/>
    <w:rsid w:val="008B19F8"/>
    <w:rsid w:val="008B3872"/>
    <w:rsid w:val="008E49C9"/>
    <w:rsid w:val="00911F27"/>
    <w:rsid w:val="00912A79"/>
    <w:rsid w:val="009236E4"/>
    <w:rsid w:val="009327DE"/>
    <w:rsid w:val="00942C15"/>
    <w:rsid w:val="00954C20"/>
    <w:rsid w:val="00955B08"/>
    <w:rsid w:val="00957E82"/>
    <w:rsid w:val="00964729"/>
    <w:rsid w:val="00967706"/>
    <w:rsid w:val="009A7FB0"/>
    <w:rsid w:val="009B5AA6"/>
    <w:rsid w:val="009C361F"/>
    <w:rsid w:val="009D4349"/>
    <w:rsid w:val="009E3D96"/>
    <w:rsid w:val="009F2FF7"/>
    <w:rsid w:val="00A3610F"/>
    <w:rsid w:val="00A624B0"/>
    <w:rsid w:val="00A93605"/>
    <w:rsid w:val="00AA5841"/>
    <w:rsid w:val="00AB100F"/>
    <w:rsid w:val="00AD13E0"/>
    <w:rsid w:val="00AE5FEA"/>
    <w:rsid w:val="00AE78AE"/>
    <w:rsid w:val="00B63CA2"/>
    <w:rsid w:val="00B72C35"/>
    <w:rsid w:val="00B860F3"/>
    <w:rsid w:val="00BA7931"/>
    <w:rsid w:val="00BB05E3"/>
    <w:rsid w:val="00BB2117"/>
    <w:rsid w:val="00C10246"/>
    <w:rsid w:val="00C22AA3"/>
    <w:rsid w:val="00C23B48"/>
    <w:rsid w:val="00C51159"/>
    <w:rsid w:val="00C87238"/>
    <w:rsid w:val="00CA2330"/>
    <w:rsid w:val="00CB4D2A"/>
    <w:rsid w:val="00CD518E"/>
    <w:rsid w:val="00CE4BBE"/>
    <w:rsid w:val="00CF1982"/>
    <w:rsid w:val="00D11AA6"/>
    <w:rsid w:val="00D2366A"/>
    <w:rsid w:val="00D31CD5"/>
    <w:rsid w:val="00D46ECE"/>
    <w:rsid w:val="00D60F9A"/>
    <w:rsid w:val="00D64D49"/>
    <w:rsid w:val="00D658F0"/>
    <w:rsid w:val="00D73543"/>
    <w:rsid w:val="00D827C0"/>
    <w:rsid w:val="00D87360"/>
    <w:rsid w:val="00DA30FC"/>
    <w:rsid w:val="00DF4C8B"/>
    <w:rsid w:val="00E230B0"/>
    <w:rsid w:val="00E47F6A"/>
    <w:rsid w:val="00E60E34"/>
    <w:rsid w:val="00E66B5F"/>
    <w:rsid w:val="00E756D6"/>
    <w:rsid w:val="00E93750"/>
    <w:rsid w:val="00E958D3"/>
    <w:rsid w:val="00EA2A03"/>
    <w:rsid w:val="00EA7C88"/>
    <w:rsid w:val="00EC0561"/>
    <w:rsid w:val="00EC116E"/>
    <w:rsid w:val="00ED6382"/>
    <w:rsid w:val="00EE51B2"/>
    <w:rsid w:val="00F04763"/>
    <w:rsid w:val="00F04957"/>
    <w:rsid w:val="00F13E6B"/>
    <w:rsid w:val="00F52786"/>
    <w:rsid w:val="00F56983"/>
    <w:rsid w:val="00F71819"/>
    <w:rsid w:val="00F829F9"/>
    <w:rsid w:val="00F9218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3228567"/>
  <w15:docId w15:val="{B6479DC1-6E8C-40AE-A9A4-6908726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AB100F"/>
    <w:pPr>
      <w:spacing w:after="120" w:line="240" w:lineRule="atLeast"/>
      <w:ind w:left="567"/>
    </w:pPr>
    <w:rPr>
      <w:rFonts w:ascii="Arial" w:hAnsi="Arial" w:cs="Arial"/>
      <w:b/>
      <w:color w:val="6600AA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AB100F"/>
    <w:pPr>
      <w:ind w:left="567"/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AB100F"/>
    <w:rPr>
      <w:rFonts w:ascii="Arial" w:hAnsi="Arial" w:cs="Arial"/>
      <w:b/>
      <w:color w:val="6600AA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6367EE"/>
    <w:pPr>
      <w:spacing w:before="0" w:after="840" w:line="240" w:lineRule="auto"/>
    </w:pPr>
    <w:rPr>
      <w:rFonts w:ascii="Arial" w:hAnsi="Arial" w:cs="Arial"/>
      <w:b/>
      <w:color w:val="6600AA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AB100F"/>
    <w:rPr>
      <w:rFonts w:ascii="Arial" w:hAnsi="Arial" w:cs="Arial"/>
      <w:color w:val="000000" w:themeColor="text1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6367EE"/>
    <w:pPr>
      <w:spacing w:before="200" w:after="120" w:line="240" w:lineRule="auto"/>
    </w:pPr>
    <w:rPr>
      <w:rFonts w:ascii="Arial" w:hAnsi="Arial"/>
      <w:b/>
      <w:color w:val="009DF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6367EE"/>
    <w:rPr>
      <w:rFonts w:ascii="Arial" w:eastAsiaTheme="majorEastAsia" w:hAnsi="Arial" w:cs="Arial"/>
      <w:b/>
      <w:color w:val="6600AA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6367EE"/>
    <w:rPr>
      <w:rFonts w:ascii="Arial" w:eastAsiaTheme="majorEastAsia" w:hAnsi="Arial" w:cstheme="majorBidi"/>
      <w:b/>
      <w:color w:val="009DF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6367EE"/>
    <w:pPr>
      <w:spacing w:before="200" w:after="120" w:line="240" w:lineRule="atLeast"/>
    </w:pPr>
    <w:rPr>
      <w:rFonts w:ascii="Arial" w:hAnsi="Arial"/>
      <w:b/>
      <w:color w:val="FF7E00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rsid w:val="00FE5D6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5D66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rsid w:val="00FE5D66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6367EE"/>
    <w:rPr>
      <w:rFonts w:ascii="Arial" w:eastAsiaTheme="majorEastAsia" w:hAnsi="Arial" w:cstheme="majorBidi"/>
      <w:b/>
      <w:color w:val="FF7E00"/>
      <w:sz w:val="20"/>
      <w:szCs w:val="24"/>
    </w:rPr>
  </w:style>
  <w:style w:type="paragraph" w:styleId="Header">
    <w:name w:val="header"/>
    <w:basedOn w:val="Normal"/>
    <w:link w:val="HeaderChar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374C80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6367EE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6600AA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6367EE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6367EE"/>
    <w:rPr>
      <w:rFonts w:ascii="Arial" w:hAnsi="Arial" w:cs="Arial"/>
      <w:b/>
      <w:noProof/>
      <w:color w:val="6600AA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6367EE"/>
    <w:rPr>
      <w:rFonts w:ascii="Arial" w:hAnsi="Arial" w:cs="Arial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1"/>
      </w:numPr>
      <w:spacing w:after="0" w:line="240" w:lineRule="atLeast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4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5"/>
      </w:numPr>
      <w:spacing w:after="240" w:line="240" w:lineRule="auto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3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6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6367EE"/>
    <w:pPr>
      <w:spacing w:after="120"/>
      <w:ind w:left="284"/>
    </w:pPr>
    <w:rPr>
      <w:b/>
      <w:color w:val="FF7E00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602EF4"/>
    <w:pPr>
      <w:ind w:right="737"/>
      <w:jc w:val="right"/>
    </w:pPr>
    <w:rPr>
      <w:b w:val="0"/>
      <w:i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6367EE"/>
    <w:rPr>
      <w:rFonts w:ascii="Arial" w:eastAsiaTheme="majorEastAsia" w:hAnsi="Arial" w:cstheme="majorBidi"/>
      <w:b/>
      <w:color w:val="FF7E00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602EF4"/>
    <w:rPr>
      <w:rFonts w:ascii="Arial" w:eastAsiaTheme="majorEastAsia" w:hAnsi="Arial" w:cstheme="majorBidi"/>
      <w:b w:val="0"/>
      <w:i/>
      <w:color w:val="FF7E00"/>
      <w:sz w:val="24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6367EE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6600AA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9F2FF7"/>
    <w:pPr>
      <w:pBdr>
        <w:bottom w:val="single" w:sz="2" w:space="6" w:color="000000" w:themeColor="text1"/>
      </w:pBdr>
      <w:spacing w:before="240" w:after="120"/>
    </w:pPr>
    <w:rPr>
      <w:b/>
      <w:color w:val="000000" w:themeColor="text1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6367EE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6600AA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9F2FF7"/>
    <w:pPr>
      <w:keepLines/>
      <w:suppressAutoHyphens/>
      <w:spacing w:before="120" w:after="120"/>
      <w:ind w:left="113"/>
    </w:pPr>
    <w:rPr>
      <w:b/>
      <w:color w:val="000000" w:themeColor="text1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9F2FF7"/>
    <w:rPr>
      <w:rFonts w:ascii="Arial" w:eastAsiaTheme="majorEastAsia" w:hAnsi="Arial" w:cstheme="majorBidi"/>
      <w:b/>
      <w:color w:val="000000" w:themeColor="text1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367EE"/>
    <w:pPr>
      <w:spacing w:before="0" w:after="840" w:line="240" w:lineRule="atLeast"/>
      <w:outlineLvl w:val="9"/>
    </w:pPr>
    <w:rPr>
      <w:rFonts w:ascii="Arial" w:hAnsi="Arial"/>
      <w:b/>
      <w:color w:val="6600AA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5E5863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3F92CF"/>
      <w:sz w:val="24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9F2FF7"/>
    <w:rPr>
      <w:rFonts w:ascii="Arial" w:eastAsiaTheme="majorEastAsia" w:hAnsi="Arial" w:cstheme="majorBidi"/>
      <w:b/>
      <w:color w:val="000000" w:themeColor="text1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6367EE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6600AA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6600AA"/>
        <w:sz w:val="36"/>
      </w:rPr>
      <w:tblPr/>
      <w:tcPr>
        <w:shd w:val="clear" w:color="auto" w:fill="F2F2F2" w:themeFill="background1" w:themeFillShade="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7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6367EE"/>
    <w:pPr>
      <w:spacing w:before="0" w:after="840" w:line="240" w:lineRule="auto"/>
    </w:pPr>
    <w:rPr>
      <w:rFonts w:ascii="Arial" w:hAnsi="Arial"/>
      <w:b/>
      <w:bCs/>
      <w:color w:val="6600AA"/>
      <w:sz w:val="44"/>
    </w:rPr>
  </w:style>
  <w:style w:type="paragraph" w:customStyle="1" w:styleId="BlueSubheading3">
    <w:name w:val="Blue Subheading 3"/>
    <w:basedOn w:val="Heading3"/>
    <w:qFormat/>
    <w:rsid w:val="006367EE"/>
    <w:pPr>
      <w:spacing w:before="200" w:after="120" w:line="240" w:lineRule="atLeast"/>
    </w:pPr>
    <w:rPr>
      <w:rFonts w:ascii="Arial" w:hAnsi="Arial"/>
      <w:b/>
      <w:bCs/>
      <w:color w:val="009DFF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FF7"/>
    <w:pPr>
      <w:pBdr>
        <w:top w:val="single" w:sz="4" w:space="10" w:color="E6007E"/>
        <w:bottom w:val="single" w:sz="4" w:space="10" w:color="E6007E"/>
      </w:pBdr>
      <w:spacing w:before="360" w:after="360"/>
      <w:ind w:left="864" w:right="864"/>
      <w:jc w:val="center"/>
    </w:pPr>
    <w:rPr>
      <w:i/>
      <w:iCs/>
      <w:color w:val="E600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FF7"/>
    <w:rPr>
      <w:i/>
      <w:iCs/>
      <w:color w:val="E6007E"/>
    </w:rPr>
  </w:style>
  <w:style w:type="character" w:styleId="IntenseReference">
    <w:name w:val="Intense Reference"/>
    <w:basedOn w:val="DefaultParagraphFont"/>
    <w:uiPriority w:val="32"/>
    <w:qFormat/>
    <w:rsid w:val="009F2FF7"/>
    <w:rPr>
      <w:b/>
      <w:bCs/>
      <w:smallCaps/>
      <w:color w:val="E6007E"/>
      <w:spacing w:val="5"/>
    </w:rPr>
  </w:style>
  <w:style w:type="paragraph" w:styleId="BodyText">
    <w:name w:val="Body Text"/>
    <w:basedOn w:val="Normal"/>
    <w:link w:val="BodyTextChar"/>
    <w:qFormat/>
    <w:rsid w:val="00C87238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7238"/>
    <w:rPr>
      <w:rFonts w:ascii="Arial" w:hAnsi="Arial"/>
      <w:sz w:val="20"/>
      <w:szCs w:val="20"/>
    </w:rPr>
  </w:style>
  <w:style w:type="paragraph" w:customStyle="1" w:styleId="Default">
    <w:name w:val="Default"/>
    <w:rsid w:val="00C8723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383"/>
    <w:pPr>
      <w:spacing w:after="120" w:line="260" w:lineRule="atLeast"/>
      <w:ind w:left="720"/>
      <w:contextualSpacing/>
      <w:jc w:val="both"/>
    </w:pPr>
    <w:rPr>
      <w:rFonts w:ascii="Interstate-Light" w:eastAsia="Times New Roman" w:hAnsi="Interstate-Light" w:cs="Times New Roman"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29F9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f.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c.govt.nz/assets/Forms-templates-and-guides/PBRF/a7c29b5b70/PBRF-TEO-guidelines-April-2018.pdf" TargetMode="External"/><Relationship Id="rId1" Type="http://schemas.openxmlformats.org/officeDocument/2006/relationships/hyperlink" Target="https://www.tec.govt.nz/assets/Forms-templates-and-guides/PBRF/a7c29b5b70/PBRF-TEO-guidelines-April-2018.pdf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8979-95CF-4BCE-AB79-1C053FB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Violaine Hemery</dc:creator>
  <dc:description>Developd by www.allfields.co.nz</dc:description>
  <cp:lastModifiedBy>Georgina English</cp:lastModifiedBy>
  <cp:revision>2</cp:revision>
  <cp:lastPrinted>2020-08-26T02:58:00Z</cp:lastPrinted>
  <dcterms:created xsi:type="dcterms:W3CDTF">2020-10-05T21:15:00Z</dcterms:created>
  <dcterms:modified xsi:type="dcterms:W3CDTF">2020-10-05T21:15:00Z</dcterms:modified>
</cp:coreProperties>
</file>